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53" w:rsidRDefault="00042B53" w:rsidP="0075497B">
      <w:pPr>
        <w:jc w:val="both"/>
        <w:rPr>
          <w:rFonts w:ascii="Arial" w:hAnsi="Arial" w:cs="Arial"/>
          <w:sz w:val="18"/>
          <w:szCs w:val="18"/>
        </w:rPr>
      </w:pPr>
    </w:p>
    <w:p w:rsidR="00A5128C" w:rsidRDefault="00A5128C" w:rsidP="0075497B">
      <w:pPr>
        <w:jc w:val="both"/>
        <w:rPr>
          <w:rFonts w:ascii="Arial" w:hAnsi="Arial" w:cs="Arial"/>
          <w:sz w:val="18"/>
          <w:szCs w:val="18"/>
        </w:rPr>
      </w:pPr>
    </w:p>
    <w:p w:rsidR="00FC6B8E" w:rsidRPr="00FC6B8E" w:rsidRDefault="00FC6B8E" w:rsidP="00FC6B8E">
      <w:pPr>
        <w:spacing w:line="276" w:lineRule="auto"/>
        <w:jc w:val="center"/>
        <w:rPr>
          <w:rFonts w:ascii="Arial" w:hAnsi="Arial" w:cs="Arial"/>
          <w:b/>
          <w:sz w:val="40"/>
          <w:szCs w:val="40"/>
        </w:rPr>
      </w:pPr>
      <w:r w:rsidRPr="00FC6B8E">
        <w:rPr>
          <w:rFonts w:ascii="Arial" w:hAnsi="Arial" w:cs="Arial"/>
          <w:b/>
          <w:sz w:val="40"/>
          <w:szCs w:val="40"/>
        </w:rPr>
        <w:t>Accordo di collaborazione ISS - Regione Basilicata</w:t>
      </w:r>
    </w:p>
    <w:p w:rsidR="00FC6B8E" w:rsidRPr="00FC6B8E" w:rsidRDefault="00FC6B8E" w:rsidP="00FC6B8E">
      <w:pPr>
        <w:spacing w:line="276" w:lineRule="auto"/>
        <w:jc w:val="center"/>
        <w:rPr>
          <w:rFonts w:ascii="Arial" w:hAnsi="Arial" w:cs="Arial"/>
          <w:b/>
          <w:sz w:val="40"/>
          <w:szCs w:val="40"/>
        </w:rPr>
      </w:pPr>
      <w:proofErr w:type="gramStart"/>
      <w:r w:rsidRPr="00FC6B8E">
        <w:rPr>
          <w:rFonts w:ascii="Arial" w:hAnsi="Arial" w:cs="Arial"/>
          <w:b/>
          <w:sz w:val="40"/>
          <w:szCs w:val="40"/>
        </w:rPr>
        <w:t>contributo</w:t>
      </w:r>
      <w:proofErr w:type="gramEnd"/>
      <w:r w:rsidRPr="00FC6B8E">
        <w:rPr>
          <w:rFonts w:ascii="Arial" w:hAnsi="Arial" w:cs="Arial"/>
          <w:b/>
          <w:sz w:val="40"/>
          <w:szCs w:val="40"/>
        </w:rPr>
        <w:t xml:space="preserve"> dell’Ufficio di Statistica dell’ISS</w:t>
      </w:r>
    </w:p>
    <w:p w:rsidR="00FC6B8E" w:rsidRPr="00C841AC" w:rsidRDefault="00FC6B8E" w:rsidP="00FC6B8E">
      <w:pPr>
        <w:spacing w:line="276" w:lineRule="auto"/>
        <w:jc w:val="center"/>
        <w:rPr>
          <w:rFonts w:ascii="Arial" w:hAnsi="Arial" w:cs="Arial"/>
          <w:b/>
          <w:sz w:val="22"/>
          <w:szCs w:val="22"/>
        </w:rPr>
      </w:pPr>
    </w:p>
    <w:p w:rsidR="00FC6B8E" w:rsidRDefault="00FC6B8E" w:rsidP="00FC6B8E">
      <w:pPr>
        <w:spacing w:line="276" w:lineRule="auto"/>
        <w:jc w:val="center"/>
        <w:rPr>
          <w:rFonts w:ascii="Arial" w:hAnsi="Arial" w:cs="Arial"/>
          <w:b/>
          <w:sz w:val="44"/>
          <w:szCs w:val="44"/>
        </w:rPr>
      </w:pPr>
      <w:r w:rsidRPr="00FC6B8E">
        <w:rPr>
          <w:rFonts w:ascii="Arial" w:hAnsi="Arial" w:cs="Arial"/>
          <w:b/>
          <w:sz w:val="44"/>
          <w:szCs w:val="44"/>
        </w:rPr>
        <w:t>“</w:t>
      </w:r>
      <w:bookmarkStart w:id="0" w:name="_GoBack"/>
      <w:r w:rsidRPr="00FC6B8E">
        <w:rPr>
          <w:rFonts w:ascii="Arial" w:hAnsi="Arial" w:cs="Arial"/>
          <w:b/>
          <w:sz w:val="44"/>
          <w:szCs w:val="44"/>
        </w:rPr>
        <w:t xml:space="preserve">La descrizione del profilo di salute delle popolazioni della Val d’Agri attraverso lo </w:t>
      </w:r>
      <w:r w:rsidR="00D66386">
        <w:rPr>
          <w:rFonts w:ascii="Arial" w:hAnsi="Arial" w:cs="Arial"/>
          <w:b/>
          <w:sz w:val="44"/>
          <w:szCs w:val="44"/>
        </w:rPr>
        <w:t>s</w:t>
      </w:r>
      <w:r w:rsidRPr="00FC6B8E">
        <w:rPr>
          <w:rFonts w:ascii="Arial" w:hAnsi="Arial" w:cs="Arial"/>
          <w:b/>
          <w:sz w:val="44"/>
          <w:szCs w:val="44"/>
        </w:rPr>
        <w:t>tudio dei dati sanitari correnti</w:t>
      </w:r>
      <w:bookmarkEnd w:id="0"/>
      <w:r w:rsidRPr="00FC6B8E">
        <w:rPr>
          <w:rFonts w:ascii="Arial" w:hAnsi="Arial" w:cs="Arial"/>
          <w:b/>
          <w:sz w:val="44"/>
          <w:szCs w:val="44"/>
        </w:rPr>
        <w:t>”</w:t>
      </w:r>
    </w:p>
    <w:p w:rsidR="00C841AC" w:rsidRDefault="00C841AC" w:rsidP="00FC6B8E">
      <w:pPr>
        <w:spacing w:before="120" w:after="120"/>
        <w:jc w:val="center"/>
        <w:rPr>
          <w:rFonts w:ascii="Arial" w:hAnsi="Arial" w:cs="Arial"/>
          <w:b/>
          <w:sz w:val="44"/>
          <w:szCs w:val="44"/>
        </w:rPr>
      </w:pPr>
      <w:r>
        <w:rPr>
          <w:noProof/>
          <w:lang w:eastAsia="it-IT"/>
        </w:rPr>
        <w:drawing>
          <wp:anchor distT="0" distB="0" distL="114300" distR="114300" simplePos="0" relativeHeight="251658240" behindDoc="0" locked="0" layoutInCell="1" allowOverlap="1">
            <wp:simplePos x="2171700" y="3467100"/>
            <wp:positionH relativeFrom="margin">
              <wp:align>left</wp:align>
            </wp:positionH>
            <wp:positionV relativeFrom="margin">
              <wp:align>top</wp:align>
            </wp:positionV>
            <wp:extent cx="1200000" cy="1440000"/>
            <wp:effectExtent l="0" t="0" r="0" b="0"/>
            <wp:wrapSquare wrapText="bothSides"/>
            <wp:docPr id="2" name="Immagine 2" descr="http://upload.wikimedia.org/wikipedia/commons/thumb/0/07/Regione-Basilicata-Stemma.svg/200px-Regione-Basilicata-Stem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7/Regione-Basilicata-Stemma.svg/200px-Regione-Basilicata-Stemm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000" cy="1440000"/>
                    </a:xfrm>
                    <a:prstGeom prst="rect">
                      <a:avLst/>
                    </a:prstGeom>
                    <a:noFill/>
                    <a:ln>
                      <a:noFill/>
                    </a:ln>
                  </pic:spPr>
                </pic:pic>
              </a:graphicData>
            </a:graphic>
          </wp:anchor>
        </w:drawing>
      </w:r>
      <w:r>
        <w:rPr>
          <w:rFonts w:ascii="Arial" w:hAnsi="Arial" w:cs="Arial"/>
          <w:b/>
          <w:sz w:val="44"/>
          <w:szCs w:val="44"/>
        </w:rPr>
        <w:t xml:space="preserve"> </w:t>
      </w:r>
      <w:r>
        <w:rPr>
          <w:noProof/>
          <w:lang w:eastAsia="it-IT"/>
        </w:rPr>
        <w:drawing>
          <wp:anchor distT="0" distB="0" distL="114300" distR="114300" simplePos="0" relativeHeight="251659264" behindDoc="0" locked="0" layoutInCell="1" allowOverlap="1">
            <wp:simplePos x="2943225" y="3762375"/>
            <wp:positionH relativeFrom="margin">
              <wp:align>right</wp:align>
            </wp:positionH>
            <wp:positionV relativeFrom="margin">
              <wp:align>top</wp:align>
            </wp:positionV>
            <wp:extent cx="1440000" cy="1440000"/>
            <wp:effectExtent l="0" t="0" r="0" b="0"/>
            <wp:wrapSquare wrapText="bothSides"/>
            <wp:docPr id="3" name="Immagine 3" descr="http://upload.wikimedia.org/wikipedia/it/a/a6/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it/a/a6/I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anchor>
        </w:drawing>
      </w:r>
    </w:p>
    <w:p w:rsidR="00A5128C" w:rsidRDefault="00A5128C" w:rsidP="0075497B">
      <w:pPr>
        <w:jc w:val="both"/>
        <w:rPr>
          <w:rFonts w:ascii="Arial" w:hAnsi="Arial" w:cs="Arial"/>
          <w:sz w:val="18"/>
          <w:szCs w:val="18"/>
        </w:rPr>
      </w:pPr>
    </w:p>
    <w:p w:rsidR="00A5128C" w:rsidRDefault="00A5128C" w:rsidP="0075497B">
      <w:pPr>
        <w:jc w:val="both"/>
        <w:rPr>
          <w:rFonts w:ascii="Arial" w:hAnsi="Arial" w:cs="Arial"/>
          <w:sz w:val="18"/>
          <w:szCs w:val="18"/>
        </w:rPr>
        <w:sectPr w:rsidR="00A5128C" w:rsidSect="0090267E">
          <w:footerReference w:type="default" r:id="rId10"/>
          <w:pgSz w:w="11905" w:h="16837"/>
          <w:pgMar w:top="1242" w:right="1008" w:bottom="1418" w:left="1008" w:header="426" w:footer="403" w:gutter="0"/>
          <w:cols w:space="720"/>
        </w:sectPr>
      </w:pPr>
      <w:r>
        <w:rPr>
          <w:rFonts w:ascii="Arial" w:hAnsi="Arial" w:cs="Arial"/>
          <w:noProof/>
          <w:sz w:val="18"/>
          <w:szCs w:val="18"/>
          <w:lang w:eastAsia="it-IT"/>
        </w:rPr>
        <w:drawing>
          <wp:inline distT="0" distB="0" distL="0" distR="0">
            <wp:extent cx="6120130" cy="4126360"/>
            <wp:effectExtent l="19050" t="19050" r="13970" b="266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126360"/>
                    </a:xfrm>
                    <a:prstGeom prst="rect">
                      <a:avLst/>
                    </a:prstGeom>
                    <a:noFill/>
                    <a:ln>
                      <a:solidFill>
                        <a:srgbClr val="00B0F0"/>
                      </a:solidFill>
                    </a:ln>
                  </pic:spPr>
                </pic:pic>
              </a:graphicData>
            </a:graphic>
          </wp:inline>
        </w:drawing>
      </w:r>
    </w:p>
    <w:p w:rsidR="00A5128C" w:rsidRDefault="00A5128C" w:rsidP="00AA28F0">
      <w:pPr>
        <w:pStyle w:val="StileTitolo114pt"/>
      </w:pPr>
    </w:p>
    <w:sdt>
      <w:sdtPr>
        <w:rPr>
          <w:rFonts w:ascii="Times New Roman" w:eastAsia="MS Mincho" w:hAnsi="Times New Roman" w:cs="Times New Roman"/>
          <w:b w:val="0"/>
          <w:bCs w:val="0"/>
          <w:color w:val="auto"/>
          <w:sz w:val="20"/>
          <w:szCs w:val="20"/>
          <w:lang w:eastAsia="ja-JP"/>
        </w:rPr>
        <w:id w:val="-561715110"/>
        <w:docPartObj>
          <w:docPartGallery w:val="Table of Contents"/>
          <w:docPartUnique/>
        </w:docPartObj>
      </w:sdtPr>
      <w:sdtEndPr/>
      <w:sdtContent>
        <w:p w:rsidR="00A5128C" w:rsidRPr="00A5128C" w:rsidRDefault="00A5128C">
          <w:pPr>
            <w:pStyle w:val="Titolosommario"/>
            <w:rPr>
              <w:rFonts w:ascii="Arial" w:hAnsi="Arial" w:cs="Arial"/>
              <w:color w:val="auto"/>
              <w:sz w:val="56"/>
              <w:szCs w:val="56"/>
            </w:rPr>
          </w:pPr>
          <w:r w:rsidRPr="00A5128C">
            <w:rPr>
              <w:rFonts w:ascii="Arial" w:hAnsi="Arial" w:cs="Arial"/>
              <w:color w:val="auto"/>
              <w:sz w:val="56"/>
              <w:szCs w:val="56"/>
            </w:rPr>
            <w:t>INDICE</w:t>
          </w:r>
        </w:p>
        <w:p w:rsidR="00C82678" w:rsidRPr="00C82678" w:rsidRDefault="002629D0">
          <w:pPr>
            <w:pStyle w:val="Sommario1"/>
            <w:tabs>
              <w:tab w:val="right" w:leader="dot" w:pos="9879"/>
            </w:tabs>
            <w:rPr>
              <w:rFonts w:ascii="Arial" w:eastAsiaTheme="minorEastAsia" w:hAnsi="Arial" w:cs="Arial"/>
              <w:noProof/>
              <w:sz w:val="28"/>
              <w:szCs w:val="28"/>
              <w:lang w:eastAsia="it-IT"/>
            </w:rPr>
          </w:pPr>
          <w:r w:rsidRPr="00C82678">
            <w:rPr>
              <w:rFonts w:ascii="Arial" w:hAnsi="Arial" w:cs="Arial"/>
              <w:sz w:val="28"/>
              <w:szCs w:val="28"/>
            </w:rPr>
            <w:fldChar w:fldCharType="begin"/>
          </w:r>
          <w:r w:rsidR="00A5128C" w:rsidRPr="00C82678">
            <w:rPr>
              <w:rFonts w:ascii="Arial" w:hAnsi="Arial" w:cs="Arial"/>
              <w:sz w:val="28"/>
              <w:szCs w:val="28"/>
            </w:rPr>
            <w:instrText xml:space="preserve"> TOC \o "1-3" \h \z \u </w:instrText>
          </w:r>
          <w:r w:rsidRPr="00C82678">
            <w:rPr>
              <w:rFonts w:ascii="Arial" w:hAnsi="Arial" w:cs="Arial"/>
              <w:sz w:val="28"/>
              <w:szCs w:val="28"/>
            </w:rPr>
            <w:fldChar w:fldCharType="separate"/>
          </w:r>
          <w:hyperlink w:anchor="_Toc409780577" w:history="1">
            <w:r w:rsidR="00C82678" w:rsidRPr="00C82678">
              <w:rPr>
                <w:rStyle w:val="Collegamentoipertestuale"/>
                <w:rFonts w:ascii="Arial" w:hAnsi="Arial" w:cs="Arial"/>
                <w:noProof/>
                <w:sz w:val="28"/>
                <w:szCs w:val="28"/>
              </w:rPr>
              <w:t>Introduzione</w:t>
            </w:r>
            <w:r w:rsidR="00C82678" w:rsidRPr="00C82678">
              <w:rPr>
                <w:rFonts w:ascii="Arial" w:hAnsi="Arial" w:cs="Arial"/>
                <w:noProof/>
                <w:webHidden/>
                <w:sz w:val="28"/>
                <w:szCs w:val="28"/>
              </w:rPr>
              <w:tab/>
            </w:r>
            <w:r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_Toc409780577 \h </w:instrText>
            </w:r>
            <w:r w:rsidRPr="00C82678">
              <w:rPr>
                <w:rFonts w:ascii="Arial" w:hAnsi="Arial" w:cs="Arial"/>
                <w:noProof/>
                <w:webHidden/>
                <w:sz w:val="28"/>
                <w:szCs w:val="28"/>
              </w:rPr>
            </w:r>
            <w:r w:rsidRPr="00C82678">
              <w:rPr>
                <w:rFonts w:ascii="Arial" w:hAnsi="Arial" w:cs="Arial"/>
                <w:noProof/>
                <w:webHidden/>
                <w:sz w:val="28"/>
                <w:szCs w:val="28"/>
              </w:rPr>
              <w:fldChar w:fldCharType="separate"/>
            </w:r>
            <w:r w:rsidR="00C82678" w:rsidRPr="00C82678">
              <w:rPr>
                <w:rFonts w:ascii="Arial" w:hAnsi="Arial" w:cs="Arial"/>
                <w:noProof/>
                <w:webHidden/>
                <w:sz w:val="28"/>
                <w:szCs w:val="28"/>
              </w:rPr>
              <w:t>1</w:t>
            </w:r>
            <w:r w:rsidRPr="00C82678">
              <w:rPr>
                <w:rFonts w:ascii="Arial" w:hAnsi="Arial" w:cs="Arial"/>
                <w:noProof/>
                <w:webHidden/>
                <w:sz w:val="28"/>
                <w:szCs w:val="28"/>
              </w:rPr>
              <w:fldChar w:fldCharType="end"/>
            </w:r>
          </w:hyperlink>
        </w:p>
        <w:p w:rsidR="00C82678" w:rsidRPr="00C82678" w:rsidRDefault="00F07693">
          <w:pPr>
            <w:pStyle w:val="Sommario1"/>
            <w:tabs>
              <w:tab w:val="right" w:leader="dot" w:pos="9879"/>
            </w:tabs>
            <w:rPr>
              <w:rFonts w:ascii="Arial" w:eastAsiaTheme="minorEastAsia" w:hAnsi="Arial" w:cs="Arial"/>
              <w:noProof/>
              <w:sz w:val="28"/>
              <w:szCs w:val="28"/>
              <w:lang w:eastAsia="it-IT"/>
            </w:rPr>
          </w:pPr>
          <w:hyperlink w:anchor="_Toc409780578" w:history="1">
            <w:r w:rsidR="00C82678" w:rsidRPr="00C82678">
              <w:rPr>
                <w:rStyle w:val="Collegamentoipertestuale"/>
                <w:rFonts w:ascii="Arial" w:hAnsi="Arial" w:cs="Arial"/>
                <w:noProof/>
                <w:sz w:val="28"/>
                <w:szCs w:val="28"/>
              </w:rPr>
              <w:t>Materiali e metodi</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_Toc409780578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w:t>
            </w:r>
            <w:r w:rsidR="002629D0" w:rsidRPr="00C82678">
              <w:rPr>
                <w:rFonts w:ascii="Arial" w:hAnsi="Arial" w:cs="Arial"/>
                <w:noProof/>
                <w:webHidden/>
                <w:sz w:val="28"/>
                <w:szCs w:val="28"/>
              </w:rPr>
              <w:fldChar w:fldCharType="end"/>
            </w:r>
          </w:hyperlink>
        </w:p>
        <w:p w:rsidR="00C82678" w:rsidRPr="00C82678" w:rsidRDefault="00F07693">
          <w:pPr>
            <w:pStyle w:val="Sommario2"/>
            <w:tabs>
              <w:tab w:val="right" w:leader="dot" w:pos="9879"/>
            </w:tabs>
            <w:rPr>
              <w:rFonts w:ascii="Arial" w:eastAsiaTheme="minorEastAsia" w:hAnsi="Arial" w:cs="Arial"/>
              <w:noProof/>
              <w:sz w:val="28"/>
              <w:szCs w:val="28"/>
              <w:lang w:eastAsia="it-IT"/>
            </w:rPr>
          </w:pPr>
          <w:hyperlink w:anchor="_Toc409780579" w:history="1">
            <w:r w:rsidR="00C82678" w:rsidRPr="00C82678">
              <w:rPr>
                <w:rStyle w:val="Collegamentoipertestuale"/>
                <w:rFonts w:ascii="Arial" w:hAnsi="Arial" w:cs="Arial"/>
                <w:noProof/>
                <w:sz w:val="28"/>
                <w:szCs w:val="28"/>
              </w:rPr>
              <w:t>Mortalità</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_Toc409780579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0" w:history="1">
            <w:r w:rsidR="00C82678" w:rsidRPr="00C82678">
              <w:rPr>
                <w:rStyle w:val="Collegamentoipertestuale"/>
                <w:rFonts w:ascii="Arial" w:hAnsi="Arial" w:cs="Arial"/>
                <w:noProof/>
                <w:sz w:val="28"/>
                <w:szCs w:val="28"/>
              </w:rPr>
              <w:t>La base di dati</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_Toc409780580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1" w:history="1">
            <w:r w:rsidR="00C82678" w:rsidRPr="00C82678">
              <w:rPr>
                <w:rStyle w:val="Collegamentoipertestuale"/>
                <w:rFonts w:ascii="Arial" w:hAnsi="Arial" w:cs="Arial"/>
                <w:noProof/>
                <w:sz w:val="28"/>
                <w:szCs w:val="28"/>
              </w:rPr>
              <w:t>Periodo temporale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_Toc409780581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2" w:history="1">
            <w:r w:rsidR="00C82678" w:rsidRPr="00C82678">
              <w:rPr>
                <w:rStyle w:val="Collegamentoipertestuale"/>
                <w:rFonts w:ascii="Arial" w:hAnsi="Arial" w:cs="Arial"/>
                <w:noProof/>
                <w:sz w:val="28"/>
                <w:szCs w:val="28"/>
              </w:rPr>
              <w:t>Le cause di morte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_Toc409780582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3" w:history="1">
            <w:r w:rsidR="00C82678" w:rsidRPr="00C82678">
              <w:rPr>
                <w:rStyle w:val="Collegamentoipertestuale"/>
                <w:rFonts w:ascii="Arial" w:hAnsi="Arial" w:cs="Arial"/>
                <w:noProof/>
                <w:sz w:val="28"/>
                <w:szCs w:val="28"/>
              </w:rPr>
              <w:t>Approfondimento metodologico sulla codifica delle cause di morte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_Toc409780583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3</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4" w:history="1">
            <w:r w:rsidR="00C82678" w:rsidRPr="00C82678">
              <w:rPr>
                <w:rStyle w:val="Collegamentoipertestuale"/>
                <w:rFonts w:ascii="Arial" w:hAnsi="Arial" w:cs="Arial"/>
                <w:noProof/>
                <w:sz w:val="28"/>
                <w:szCs w:val="28"/>
              </w:rPr>
              <w:t>Indice statistico calcolato</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_Toc409780584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9</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5" w:history="1">
            <w:r w:rsidR="00C82678" w:rsidRPr="00C82678">
              <w:rPr>
                <w:rStyle w:val="Collegamentoipertestuale"/>
                <w:rFonts w:ascii="Arial" w:hAnsi="Arial" w:cs="Arial"/>
                <w:noProof/>
                <w:sz w:val="28"/>
                <w:szCs w:val="28"/>
              </w:rPr>
              <w:t>Distinzione per genere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_Toc409780585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13</w:t>
            </w:r>
            <w:r w:rsidR="002629D0" w:rsidRPr="00C82678">
              <w:rPr>
                <w:rFonts w:ascii="Arial" w:hAnsi="Arial" w:cs="Arial"/>
                <w:noProof/>
                <w:webHidden/>
                <w:sz w:val="28"/>
                <w:szCs w:val="28"/>
              </w:rPr>
              <w:fldChar w:fldCharType="end"/>
            </w:r>
          </w:hyperlink>
        </w:p>
        <w:p w:rsidR="00C82678" w:rsidRPr="00C82678" w:rsidRDefault="00F07693">
          <w:pPr>
            <w:pStyle w:val="Sommario2"/>
            <w:tabs>
              <w:tab w:val="right" w:leader="dot" w:pos="9879"/>
            </w:tabs>
            <w:rPr>
              <w:rFonts w:ascii="Arial" w:eastAsiaTheme="minorEastAsia" w:hAnsi="Arial" w:cs="Arial"/>
              <w:noProof/>
              <w:sz w:val="28"/>
              <w:szCs w:val="28"/>
              <w:lang w:eastAsia="it-IT"/>
            </w:rPr>
          </w:pPr>
          <w:hyperlink w:anchor="_Toc409780586" w:history="1">
            <w:r w:rsidR="00C82678" w:rsidRPr="00C82678">
              <w:rPr>
                <w:rStyle w:val="Collegamentoipertestuale"/>
                <w:rFonts w:ascii="Arial" w:hAnsi="Arial" w:cs="Arial"/>
                <w:noProof/>
                <w:sz w:val="28"/>
                <w:szCs w:val="28"/>
              </w:rPr>
              <w:t>Schede di Dimissione Ospedaliera (SDO)</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_Toc409780586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14</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7" w:history="1">
            <w:r w:rsidR="00C82678" w:rsidRPr="00C82678">
              <w:rPr>
                <w:rStyle w:val="Collegamentoipertestuale"/>
                <w:rFonts w:ascii="Arial" w:hAnsi="Arial" w:cs="Arial"/>
                <w:noProof/>
                <w:sz w:val="28"/>
                <w:szCs w:val="28"/>
              </w:rPr>
              <w:t>La base di dati</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_Toc409780587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14</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8" w:history="1">
            <w:r w:rsidR="00C82678" w:rsidRPr="00C82678">
              <w:rPr>
                <w:rStyle w:val="Collegamentoipertestuale"/>
                <w:rFonts w:ascii="Arial" w:hAnsi="Arial" w:cs="Arial"/>
                <w:noProof/>
                <w:sz w:val="28"/>
                <w:szCs w:val="28"/>
              </w:rPr>
              <w:t>Periodo temporale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_Toc409780588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15</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89" w:history="1">
            <w:r w:rsidR="00C82678" w:rsidRPr="00C82678">
              <w:rPr>
                <w:rStyle w:val="Collegamentoipertestuale"/>
                <w:rFonts w:ascii="Arial" w:hAnsi="Arial" w:cs="Arial"/>
                <w:noProof/>
                <w:sz w:val="28"/>
                <w:szCs w:val="28"/>
              </w:rPr>
              <w:t>Tipo di ricovero</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_Toc409780589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15</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90" w:history="1">
            <w:r w:rsidR="00C82678" w:rsidRPr="00C82678">
              <w:rPr>
                <w:rStyle w:val="Collegamentoipertestuale"/>
                <w:rFonts w:ascii="Arial" w:hAnsi="Arial" w:cs="Arial"/>
                <w:noProof/>
                <w:sz w:val="28"/>
                <w:szCs w:val="28"/>
              </w:rPr>
              <w:t>Le cause di ricovero</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_Toc409780590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15</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91" w:history="1">
            <w:r w:rsidR="00C82678" w:rsidRPr="00C82678">
              <w:rPr>
                <w:rStyle w:val="Collegamentoipertestuale"/>
                <w:rFonts w:ascii="Arial" w:hAnsi="Arial" w:cs="Arial"/>
                <w:noProof/>
                <w:sz w:val="28"/>
                <w:szCs w:val="28"/>
              </w:rPr>
              <w:t>La scelta delle diagnosi</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_Toc409780591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18</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92" w:history="1">
            <w:r w:rsidR="00C82678" w:rsidRPr="00C82678">
              <w:rPr>
                <w:rStyle w:val="Collegamentoipertestuale"/>
                <w:rFonts w:ascii="Arial" w:hAnsi="Arial" w:cs="Arial"/>
                <w:noProof/>
                <w:sz w:val="28"/>
                <w:szCs w:val="28"/>
              </w:rPr>
              <w:t>Indice statistico calcolato</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_Toc409780592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18</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93" w:history="1">
            <w:r w:rsidR="00C82678" w:rsidRPr="00C82678">
              <w:rPr>
                <w:rStyle w:val="Collegamentoipertestuale"/>
                <w:rFonts w:ascii="Arial" w:hAnsi="Arial" w:cs="Arial"/>
                <w:noProof/>
                <w:sz w:val="28"/>
                <w:szCs w:val="28"/>
              </w:rPr>
              <w:t>Aggiustamento per indice di deprivazione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_Toc409780593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19</w:t>
            </w:r>
            <w:r w:rsidR="002629D0" w:rsidRPr="00C82678">
              <w:rPr>
                <w:rFonts w:ascii="Arial" w:hAnsi="Arial" w:cs="Arial"/>
                <w:noProof/>
                <w:webHidden/>
                <w:sz w:val="28"/>
                <w:szCs w:val="28"/>
              </w:rPr>
              <w:fldChar w:fldCharType="end"/>
            </w:r>
          </w:hyperlink>
        </w:p>
        <w:p w:rsidR="00C82678" w:rsidRPr="00C82678" w:rsidRDefault="00F07693">
          <w:pPr>
            <w:pStyle w:val="Sommario3"/>
            <w:tabs>
              <w:tab w:val="right" w:leader="dot" w:pos="9879"/>
            </w:tabs>
            <w:rPr>
              <w:rFonts w:ascii="Arial" w:eastAsiaTheme="minorEastAsia" w:hAnsi="Arial" w:cs="Arial"/>
              <w:noProof/>
              <w:sz w:val="28"/>
              <w:szCs w:val="28"/>
              <w:lang w:eastAsia="it-IT"/>
            </w:rPr>
          </w:pPr>
          <w:hyperlink w:anchor="_Toc409780594" w:history="1">
            <w:r w:rsidR="00C82678" w:rsidRPr="00C82678">
              <w:rPr>
                <w:rStyle w:val="Collegamentoipertestuale"/>
                <w:rFonts w:ascii="Arial" w:hAnsi="Arial" w:cs="Arial"/>
                <w:noProof/>
                <w:sz w:val="28"/>
                <w:szCs w:val="28"/>
              </w:rPr>
              <w:t>Distinzione per genere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_Toc409780594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19</w:t>
            </w:r>
            <w:r w:rsidR="002629D0" w:rsidRPr="00C82678">
              <w:rPr>
                <w:rFonts w:ascii="Arial" w:hAnsi="Arial" w:cs="Arial"/>
                <w:noProof/>
                <w:webHidden/>
                <w:sz w:val="28"/>
                <w:szCs w:val="28"/>
              </w:rPr>
              <w:fldChar w:fldCharType="end"/>
            </w:r>
          </w:hyperlink>
        </w:p>
        <w:p w:rsidR="00C82678" w:rsidRPr="00C82678" w:rsidRDefault="00F07693">
          <w:pPr>
            <w:pStyle w:val="Sommario1"/>
            <w:tabs>
              <w:tab w:val="right" w:leader="dot" w:pos="9879"/>
            </w:tabs>
            <w:rPr>
              <w:rFonts w:ascii="Arial" w:eastAsiaTheme="minorEastAsia" w:hAnsi="Arial" w:cs="Arial"/>
              <w:noProof/>
              <w:sz w:val="28"/>
              <w:szCs w:val="28"/>
              <w:lang w:eastAsia="it-IT"/>
            </w:rPr>
          </w:pPr>
          <w:hyperlink w:anchor="_Toc409780595" w:history="1">
            <w:r w:rsidR="00C82678" w:rsidRPr="00C82678">
              <w:rPr>
                <w:rStyle w:val="Collegamentoipertestuale"/>
                <w:rFonts w:ascii="Arial" w:hAnsi="Arial" w:cs="Arial"/>
                <w:noProof/>
                <w:sz w:val="28"/>
                <w:szCs w:val="28"/>
              </w:rPr>
              <w:t>Risultati</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_Toc409780595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22</w:t>
            </w:r>
            <w:r w:rsidR="002629D0" w:rsidRPr="00C82678">
              <w:rPr>
                <w:rFonts w:ascii="Arial" w:hAnsi="Arial" w:cs="Arial"/>
                <w:noProof/>
                <w:webHidden/>
                <w:sz w:val="28"/>
                <w:szCs w:val="28"/>
              </w:rPr>
              <w:fldChar w:fldCharType="end"/>
            </w:r>
          </w:hyperlink>
        </w:p>
        <w:p w:rsidR="00C82678" w:rsidRPr="00C82678" w:rsidRDefault="00F07693">
          <w:pPr>
            <w:pStyle w:val="Sommario2"/>
            <w:tabs>
              <w:tab w:val="right" w:leader="dot" w:pos="9879"/>
            </w:tabs>
            <w:rPr>
              <w:rFonts w:ascii="Arial" w:eastAsiaTheme="minorEastAsia" w:hAnsi="Arial" w:cs="Arial"/>
              <w:noProof/>
              <w:sz w:val="28"/>
              <w:szCs w:val="28"/>
              <w:lang w:eastAsia="it-IT"/>
            </w:rPr>
          </w:pPr>
          <w:hyperlink w:anchor="_Toc409780596" w:history="1">
            <w:r w:rsidR="00C82678" w:rsidRPr="00C82678">
              <w:rPr>
                <w:rStyle w:val="Collegamentoipertestuale"/>
                <w:rFonts w:ascii="Arial" w:hAnsi="Arial" w:cs="Arial"/>
                <w:noProof/>
                <w:sz w:val="28"/>
                <w:szCs w:val="28"/>
              </w:rPr>
              <w:t>Caratterizzazione demografica</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_Toc409780596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22</w:t>
            </w:r>
            <w:r w:rsidR="002629D0" w:rsidRPr="00C82678">
              <w:rPr>
                <w:rFonts w:ascii="Arial" w:hAnsi="Arial" w:cs="Arial"/>
                <w:noProof/>
                <w:webHidden/>
                <w:sz w:val="28"/>
                <w:szCs w:val="28"/>
              </w:rPr>
              <w:fldChar w:fldCharType="end"/>
            </w:r>
          </w:hyperlink>
        </w:p>
        <w:p w:rsidR="00C82678" w:rsidRPr="00C82678" w:rsidRDefault="00F07693">
          <w:pPr>
            <w:pStyle w:val="Sommario2"/>
            <w:tabs>
              <w:tab w:val="right" w:leader="dot" w:pos="9879"/>
            </w:tabs>
            <w:rPr>
              <w:rFonts w:ascii="Arial" w:eastAsiaTheme="minorEastAsia" w:hAnsi="Arial" w:cs="Arial"/>
              <w:noProof/>
              <w:sz w:val="28"/>
              <w:szCs w:val="28"/>
              <w:lang w:eastAsia="it-IT"/>
            </w:rPr>
          </w:pPr>
          <w:hyperlink w:anchor="_Toc409780597" w:history="1">
            <w:r w:rsidR="00C82678" w:rsidRPr="00C82678">
              <w:rPr>
                <w:rStyle w:val="Collegamentoipertestuale"/>
                <w:rFonts w:ascii="Arial" w:hAnsi="Arial" w:cs="Arial"/>
                <w:noProof/>
                <w:sz w:val="28"/>
                <w:szCs w:val="28"/>
              </w:rPr>
              <w:t>La mortalità</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_Toc409780597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24</w:t>
            </w:r>
            <w:r w:rsidR="002629D0" w:rsidRPr="00C82678">
              <w:rPr>
                <w:rFonts w:ascii="Arial" w:hAnsi="Arial" w:cs="Arial"/>
                <w:noProof/>
                <w:webHidden/>
                <w:sz w:val="28"/>
                <w:szCs w:val="28"/>
              </w:rPr>
              <w:fldChar w:fldCharType="end"/>
            </w:r>
          </w:hyperlink>
        </w:p>
        <w:p w:rsidR="00C82678" w:rsidRPr="00C82678" w:rsidRDefault="00F07693">
          <w:pPr>
            <w:pStyle w:val="Sommario2"/>
            <w:tabs>
              <w:tab w:val="right" w:leader="dot" w:pos="9879"/>
            </w:tabs>
            <w:rPr>
              <w:rFonts w:ascii="Arial" w:eastAsiaTheme="minorEastAsia" w:hAnsi="Arial" w:cs="Arial"/>
              <w:noProof/>
              <w:sz w:val="28"/>
              <w:szCs w:val="28"/>
              <w:lang w:eastAsia="it-IT"/>
            </w:rPr>
          </w:pPr>
          <w:hyperlink w:anchor="_Toc409780598" w:history="1">
            <w:r w:rsidR="00C82678" w:rsidRPr="00C82678">
              <w:rPr>
                <w:rStyle w:val="Collegamentoipertestuale"/>
                <w:rFonts w:ascii="Arial" w:hAnsi="Arial" w:cs="Arial"/>
                <w:noProof/>
                <w:sz w:val="28"/>
                <w:szCs w:val="28"/>
              </w:rPr>
              <w:t>L’ospedalizzazione</w:t>
            </w:r>
            <w:r w:rsidR="00C82678" w:rsidRPr="00C82678">
              <w:rPr>
                <w:rFonts w:ascii="Arial" w:hAnsi="Arial" w:cs="Arial"/>
                <w:noProof/>
                <w:webHidden/>
                <w:sz w:val="28"/>
                <w:szCs w:val="28"/>
              </w:rPr>
              <w:tab/>
            </w:r>
            <w:r w:rsidR="002629D0" w:rsidRPr="00C82678">
              <w:rPr>
                <w:rFonts w:ascii="Arial" w:hAnsi="Arial" w:cs="Arial"/>
                <w:noProof/>
                <w:webHidden/>
                <w:sz w:val="28"/>
                <w:szCs w:val="28"/>
              </w:rPr>
              <w:fldChar w:fldCharType="begin"/>
            </w:r>
            <w:r w:rsidR="00C82678" w:rsidRPr="00C82678">
              <w:rPr>
                <w:rFonts w:ascii="Arial" w:hAnsi="Arial" w:cs="Arial"/>
                <w:noProof/>
                <w:webHidden/>
                <w:sz w:val="28"/>
                <w:szCs w:val="28"/>
              </w:rPr>
              <w:instrText xml:space="preserve"> PAGEREF _Toc409780598 \h </w:instrText>
            </w:r>
            <w:r w:rsidR="002629D0" w:rsidRPr="00C82678">
              <w:rPr>
                <w:rFonts w:ascii="Arial" w:hAnsi="Arial" w:cs="Arial"/>
                <w:noProof/>
                <w:webHidden/>
                <w:sz w:val="28"/>
                <w:szCs w:val="28"/>
              </w:rPr>
            </w:r>
            <w:r w:rsidR="002629D0" w:rsidRPr="00C82678">
              <w:rPr>
                <w:rFonts w:ascii="Arial" w:hAnsi="Arial" w:cs="Arial"/>
                <w:noProof/>
                <w:webHidden/>
                <w:sz w:val="28"/>
                <w:szCs w:val="28"/>
              </w:rPr>
              <w:fldChar w:fldCharType="separate"/>
            </w:r>
            <w:r w:rsidR="00C82678" w:rsidRPr="00C82678">
              <w:rPr>
                <w:rFonts w:ascii="Arial" w:hAnsi="Arial" w:cs="Arial"/>
                <w:noProof/>
                <w:webHidden/>
                <w:sz w:val="28"/>
                <w:szCs w:val="28"/>
              </w:rPr>
              <w:t>27</w:t>
            </w:r>
            <w:r w:rsidR="002629D0" w:rsidRPr="00C82678">
              <w:rPr>
                <w:rFonts w:ascii="Arial" w:hAnsi="Arial" w:cs="Arial"/>
                <w:noProof/>
                <w:webHidden/>
                <w:sz w:val="28"/>
                <w:szCs w:val="28"/>
              </w:rPr>
              <w:fldChar w:fldCharType="end"/>
            </w:r>
          </w:hyperlink>
        </w:p>
        <w:p w:rsidR="00A5128C" w:rsidRDefault="002629D0" w:rsidP="00A5128C">
          <w:pPr>
            <w:spacing w:before="240" w:after="240"/>
          </w:pPr>
          <w:r w:rsidRPr="00C82678">
            <w:rPr>
              <w:rFonts w:ascii="Arial" w:hAnsi="Arial" w:cs="Arial"/>
              <w:b/>
              <w:bCs/>
              <w:sz w:val="28"/>
              <w:szCs w:val="28"/>
            </w:rPr>
            <w:fldChar w:fldCharType="end"/>
          </w:r>
        </w:p>
      </w:sdtContent>
    </w:sdt>
    <w:p w:rsidR="00A5128C" w:rsidRDefault="00A5128C" w:rsidP="00AA28F0">
      <w:pPr>
        <w:pStyle w:val="StileTitolo114pt"/>
        <w:sectPr w:rsidR="00A5128C" w:rsidSect="0090267E">
          <w:headerReference w:type="default" r:id="rId12"/>
          <w:footerReference w:type="default" r:id="rId13"/>
          <w:pgSz w:w="11905" w:h="16837"/>
          <w:pgMar w:top="1242" w:right="1008" w:bottom="1418" w:left="1008" w:header="426" w:footer="403" w:gutter="0"/>
          <w:pgNumType w:fmt="upperRoman" w:start="1"/>
          <w:cols w:space="720"/>
        </w:sectPr>
      </w:pPr>
    </w:p>
    <w:p w:rsidR="00755E67" w:rsidRPr="00AA28F0" w:rsidRDefault="003070CE" w:rsidP="00E74D68">
      <w:pPr>
        <w:pStyle w:val="Titolo1"/>
      </w:pPr>
      <w:bookmarkStart w:id="1" w:name="_Toc409780577"/>
      <w:r w:rsidRPr="00AA28F0">
        <w:lastRenderedPageBreak/>
        <w:t>Introduzione</w:t>
      </w:r>
      <w:bookmarkEnd w:id="1"/>
    </w:p>
    <w:p w:rsidR="003070CE" w:rsidRPr="00CC12FD" w:rsidRDefault="003070CE" w:rsidP="00042B53">
      <w:pPr>
        <w:spacing w:before="120" w:after="120" w:line="360" w:lineRule="auto"/>
        <w:jc w:val="both"/>
        <w:rPr>
          <w:rFonts w:ascii="Arial" w:hAnsi="Arial" w:cs="Arial"/>
          <w:sz w:val="24"/>
          <w:szCs w:val="24"/>
        </w:rPr>
      </w:pPr>
      <w:r w:rsidRPr="00CC12FD">
        <w:rPr>
          <w:rFonts w:ascii="Arial" w:hAnsi="Arial" w:cs="Arial"/>
          <w:sz w:val="24"/>
          <w:szCs w:val="24"/>
        </w:rPr>
        <w:t>L’accordo di collaborazione tra Regione Basilicata e Istituto Superiore di Sanità mira ad attuare un programma di ricerca con l’obiettivo di valutare l’impatto sull’ambiente delle attività antropiche nell’area della Val d’Agri e di costruire un set di indicatori di salute della popolazione residente nelle aree di interesse.</w:t>
      </w:r>
    </w:p>
    <w:p w:rsidR="003070CE" w:rsidRPr="00CC12FD" w:rsidRDefault="003070CE" w:rsidP="00042B53">
      <w:pPr>
        <w:spacing w:before="120" w:after="120" w:line="360" w:lineRule="auto"/>
        <w:jc w:val="both"/>
        <w:rPr>
          <w:rFonts w:ascii="Arial" w:hAnsi="Arial" w:cs="Arial"/>
          <w:sz w:val="24"/>
          <w:szCs w:val="24"/>
        </w:rPr>
      </w:pPr>
      <w:r w:rsidRPr="00CC12FD">
        <w:rPr>
          <w:rFonts w:ascii="Arial" w:hAnsi="Arial" w:cs="Arial"/>
          <w:sz w:val="24"/>
          <w:szCs w:val="24"/>
        </w:rPr>
        <w:t>Questo studio, quindi, si propone di caratterizzare e valutare i rischi per la salute di origine ambientale sia identificando le sorgenti ed i fattori di rischio, sia a</w:t>
      </w:r>
      <w:r w:rsidR="008B520C" w:rsidRPr="00CC12FD">
        <w:rPr>
          <w:rFonts w:ascii="Arial" w:hAnsi="Arial" w:cs="Arial"/>
          <w:sz w:val="24"/>
          <w:szCs w:val="24"/>
        </w:rPr>
        <w:t>t</w:t>
      </w:r>
      <w:r w:rsidRPr="00CC12FD">
        <w:rPr>
          <w:rFonts w:ascii="Arial" w:hAnsi="Arial" w:cs="Arial"/>
          <w:sz w:val="24"/>
          <w:szCs w:val="24"/>
        </w:rPr>
        <w:t>tivando un sistema di sorveglianza sanitaria nell’area interessata.</w:t>
      </w:r>
    </w:p>
    <w:p w:rsidR="007C4029" w:rsidRPr="00CC12FD" w:rsidRDefault="007C4029" w:rsidP="00042B53">
      <w:pPr>
        <w:spacing w:before="120" w:after="120" w:line="360" w:lineRule="auto"/>
        <w:jc w:val="both"/>
        <w:rPr>
          <w:rFonts w:ascii="Arial" w:hAnsi="Arial" w:cs="Arial"/>
          <w:sz w:val="24"/>
          <w:szCs w:val="24"/>
        </w:rPr>
      </w:pPr>
      <w:r w:rsidRPr="00CC12FD">
        <w:rPr>
          <w:rFonts w:ascii="Arial" w:hAnsi="Arial" w:cs="Arial"/>
          <w:sz w:val="24"/>
          <w:szCs w:val="24"/>
        </w:rPr>
        <w:t>Lo studio di sorve</w:t>
      </w:r>
      <w:r w:rsidR="007F4172">
        <w:rPr>
          <w:rFonts w:ascii="Arial" w:hAnsi="Arial" w:cs="Arial"/>
          <w:sz w:val="24"/>
          <w:szCs w:val="24"/>
        </w:rPr>
        <w:t>glianza sanitaria viene eseguito</w:t>
      </w:r>
      <w:r w:rsidRPr="00CC12FD">
        <w:rPr>
          <w:rFonts w:ascii="Arial" w:hAnsi="Arial" w:cs="Arial"/>
          <w:sz w:val="24"/>
          <w:szCs w:val="24"/>
        </w:rPr>
        <w:t xml:space="preserve"> dall’Ufficio di Statistica dell’ISS e si avvale </w:t>
      </w:r>
      <w:r w:rsidR="008B520C" w:rsidRPr="00CC12FD">
        <w:rPr>
          <w:rFonts w:ascii="Arial" w:hAnsi="Arial" w:cs="Arial"/>
          <w:sz w:val="24"/>
          <w:szCs w:val="24"/>
        </w:rPr>
        <w:t xml:space="preserve">di dati correnti quali la mortalità, i ricoveri ed i certificati di assistenza al parto, </w:t>
      </w:r>
      <w:r w:rsidRPr="00CC12FD">
        <w:rPr>
          <w:rFonts w:ascii="Arial" w:hAnsi="Arial" w:cs="Arial"/>
          <w:sz w:val="24"/>
          <w:szCs w:val="24"/>
        </w:rPr>
        <w:t xml:space="preserve">e </w:t>
      </w:r>
      <w:r w:rsidR="008B520C" w:rsidRPr="00CC12FD">
        <w:rPr>
          <w:rFonts w:ascii="Arial" w:hAnsi="Arial" w:cs="Arial"/>
          <w:sz w:val="24"/>
          <w:szCs w:val="24"/>
        </w:rPr>
        <w:t>permette</w:t>
      </w:r>
      <w:r w:rsidR="00206C6A" w:rsidRPr="00CC12FD">
        <w:rPr>
          <w:rFonts w:ascii="Arial" w:hAnsi="Arial" w:cs="Arial"/>
          <w:sz w:val="24"/>
          <w:szCs w:val="24"/>
        </w:rPr>
        <w:t xml:space="preserve"> </w:t>
      </w:r>
      <w:r w:rsidR="008B520C" w:rsidRPr="00CC12FD">
        <w:rPr>
          <w:rFonts w:ascii="Arial" w:hAnsi="Arial" w:cs="Arial"/>
          <w:sz w:val="24"/>
          <w:szCs w:val="24"/>
        </w:rPr>
        <w:t xml:space="preserve">di costruire un quadro dello stato di salute della popolazione in esame. </w:t>
      </w:r>
    </w:p>
    <w:p w:rsidR="008B520C" w:rsidRPr="00CC12FD" w:rsidRDefault="008B520C" w:rsidP="00042B53">
      <w:pPr>
        <w:spacing w:before="120" w:after="120" w:line="360" w:lineRule="auto"/>
        <w:jc w:val="both"/>
        <w:rPr>
          <w:rFonts w:ascii="Arial" w:hAnsi="Arial" w:cs="Arial"/>
          <w:sz w:val="24"/>
          <w:szCs w:val="24"/>
        </w:rPr>
      </w:pPr>
      <w:r w:rsidRPr="00CC12FD">
        <w:rPr>
          <w:rFonts w:ascii="Arial" w:hAnsi="Arial" w:cs="Arial"/>
          <w:sz w:val="24"/>
          <w:szCs w:val="24"/>
        </w:rPr>
        <w:t>La prese</w:t>
      </w:r>
      <w:r w:rsidR="007C4029" w:rsidRPr="00CC12FD">
        <w:rPr>
          <w:rFonts w:ascii="Arial" w:hAnsi="Arial" w:cs="Arial"/>
          <w:sz w:val="24"/>
          <w:szCs w:val="24"/>
        </w:rPr>
        <w:t xml:space="preserve">nte relazione fa riferimento allo studio della </w:t>
      </w:r>
      <w:r w:rsidRPr="00CC12FD">
        <w:rPr>
          <w:rFonts w:ascii="Arial" w:hAnsi="Arial" w:cs="Arial"/>
          <w:sz w:val="24"/>
          <w:szCs w:val="24"/>
        </w:rPr>
        <w:t>mortalità (in accordo con il cronoprogramma</w:t>
      </w:r>
      <w:r w:rsidR="00F714BD" w:rsidRPr="00CC12FD">
        <w:rPr>
          <w:rFonts w:ascii="Arial" w:hAnsi="Arial" w:cs="Arial"/>
          <w:sz w:val="24"/>
          <w:szCs w:val="24"/>
        </w:rPr>
        <w:t xml:space="preserve"> del progetto</w:t>
      </w:r>
      <w:r w:rsidRPr="00CC12FD">
        <w:rPr>
          <w:rFonts w:ascii="Arial" w:hAnsi="Arial" w:cs="Arial"/>
          <w:sz w:val="24"/>
          <w:szCs w:val="24"/>
        </w:rPr>
        <w:t>)</w:t>
      </w:r>
    </w:p>
    <w:p w:rsidR="00F714BD" w:rsidRPr="00CC12FD" w:rsidRDefault="00FB2651" w:rsidP="00F714BD">
      <w:pPr>
        <w:spacing w:before="120" w:after="120" w:line="360" w:lineRule="auto"/>
        <w:jc w:val="both"/>
        <w:rPr>
          <w:rFonts w:ascii="Arial" w:hAnsi="Arial" w:cs="Arial"/>
          <w:sz w:val="24"/>
          <w:szCs w:val="24"/>
        </w:rPr>
      </w:pPr>
      <w:r w:rsidRPr="00CC12FD">
        <w:rPr>
          <w:rFonts w:ascii="Arial" w:hAnsi="Arial" w:cs="Arial"/>
          <w:sz w:val="24"/>
          <w:szCs w:val="24"/>
        </w:rPr>
        <w:t>Il</w:t>
      </w:r>
      <w:r w:rsidR="00F714BD" w:rsidRPr="00CC12FD">
        <w:rPr>
          <w:rFonts w:ascii="Arial" w:hAnsi="Arial" w:cs="Arial"/>
          <w:sz w:val="24"/>
          <w:szCs w:val="24"/>
        </w:rPr>
        <w:t xml:space="preserve"> Dipartimento Ambiente, Territorio, Politiche della Sostenibilità - Ufficio Geologico ed Attività Estrattive Posizione Organizzativa "Idrocarburi ed acque minerali"</w:t>
      </w:r>
      <w:r w:rsidR="00206C6A" w:rsidRPr="00CC12FD">
        <w:rPr>
          <w:rFonts w:ascii="Arial" w:hAnsi="Arial" w:cs="Arial"/>
          <w:sz w:val="24"/>
          <w:szCs w:val="24"/>
        </w:rPr>
        <w:t xml:space="preserve"> - </w:t>
      </w:r>
      <w:r w:rsidRPr="00CC12FD">
        <w:rPr>
          <w:rFonts w:ascii="Arial" w:hAnsi="Arial" w:cs="Arial"/>
          <w:sz w:val="24"/>
          <w:szCs w:val="24"/>
        </w:rPr>
        <w:t xml:space="preserve"> ha fornito il seguente elenco</w:t>
      </w:r>
      <w:r w:rsidR="00F714BD" w:rsidRPr="00CC12FD">
        <w:rPr>
          <w:rFonts w:ascii="Arial" w:hAnsi="Arial" w:cs="Arial"/>
          <w:sz w:val="24"/>
          <w:szCs w:val="24"/>
        </w:rPr>
        <w:t xml:space="preserve"> </w:t>
      </w:r>
      <w:r w:rsidRPr="00CC12FD">
        <w:rPr>
          <w:rFonts w:ascii="Arial" w:hAnsi="Arial" w:cs="Arial"/>
          <w:sz w:val="24"/>
          <w:szCs w:val="24"/>
        </w:rPr>
        <w:t>de</w:t>
      </w:r>
      <w:r w:rsidR="00F714BD" w:rsidRPr="00CC12FD">
        <w:rPr>
          <w:rFonts w:ascii="Arial" w:hAnsi="Arial" w:cs="Arial"/>
          <w:sz w:val="24"/>
          <w:szCs w:val="24"/>
        </w:rPr>
        <w:t>i comuni che rientrano nella concessione Val d'Agri e che sono oggetto di analisi:</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Abriola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Anzi</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Armento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Calvello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Corleto Perticara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Grumento Nova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Guardia Perticara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Laurenzana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Marsico Nuovo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Marsicovetere</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Moliterno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Montemurro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Paterno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San Chirico Raparo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San Martino d'Agri</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Sarconi</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Sasso di Castalda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Spinoso</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Tramutola</w:t>
      </w:r>
    </w:p>
    <w:p w:rsidR="00F714BD" w:rsidRPr="00CC12FD" w:rsidRDefault="00F714BD" w:rsidP="00F714BD">
      <w:pPr>
        <w:pStyle w:val="Paragrafoelenco"/>
        <w:numPr>
          <w:ilvl w:val="0"/>
          <w:numId w:val="3"/>
        </w:numPr>
        <w:spacing w:line="276" w:lineRule="auto"/>
        <w:jc w:val="both"/>
        <w:rPr>
          <w:rFonts w:ascii="Arial" w:hAnsi="Arial" w:cs="Arial"/>
          <w:sz w:val="24"/>
          <w:szCs w:val="24"/>
        </w:rPr>
      </w:pPr>
      <w:r w:rsidRPr="00CC12FD">
        <w:rPr>
          <w:rFonts w:ascii="Arial" w:hAnsi="Arial" w:cs="Arial"/>
          <w:sz w:val="24"/>
          <w:szCs w:val="24"/>
        </w:rPr>
        <w:t>Viggiano</w:t>
      </w:r>
    </w:p>
    <w:p w:rsidR="008B520C" w:rsidRPr="00AA28F0" w:rsidRDefault="008B520C" w:rsidP="00AA28F0">
      <w:pPr>
        <w:pStyle w:val="Titolo1"/>
      </w:pPr>
      <w:bookmarkStart w:id="2" w:name="_Toc409780578"/>
      <w:r w:rsidRPr="00AA28F0">
        <w:lastRenderedPageBreak/>
        <w:t>Materiali e metodi</w:t>
      </w:r>
      <w:bookmarkEnd w:id="2"/>
    </w:p>
    <w:p w:rsidR="00770F3F" w:rsidRDefault="00770F3F" w:rsidP="00AA28F0">
      <w:pPr>
        <w:pStyle w:val="Titolo2"/>
      </w:pPr>
      <w:bookmarkStart w:id="3" w:name="_Toc409780579"/>
      <w:r>
        <w:t>Mortalità</w:t>
      </w:r>
      <w:bookmarkEnd w:id="3"/>
    </w:p>
    <w:p w:rsidR="00C336C2" w:rsidRPr="00D660FC" w:rsidRDefault="00C336C2" w:rsidP="00770F3F">
      <w:pPr>
        <w:pStyle w:val="Titolo3"/>
      </w:pPr>
      <w:bookmarkStart w:id="4" w:name="_Toc409780580"/>
      <w:r w:rsidRPr="00D660FC">
        <w:t>La base di dati</w:t>
      </w:r>
      <w:bookmarkEnd w:id="4"/>
    </w:p>
    <w:p w:rsidR="00C336C2" w:rsidRPr="00CC12FD" w:rsidRDefault="00C336C2" w:rsidP="00042B53">
      <w:pPr>
        <w:spacing w:before="120" w:after="120" w:line="360" w:lineRule="auto"/>
        <w:jc w:val="both"/>
        <w:rPr>
          <w:rFonts w:ascii="Arial" w:hAnsi="Arial" w:cs="Arial"/>
          <w:sz w:val="24"/>
          <w:szCs w:val="24"/>
        </w:rPr>
      </w:pPr>
      <w:r w:rsidRPr="00CC12FD">
        <w:rPr>
          <w:rFonts w:ascii="Arial" w:hAnsi="Arial" w:cs="Arial"/>
          <w:sz w:val="24"/>
          <w:szCs w:val="24"/>
        </w:rPr>
        <w:t>La base di dati utilizzata per lo studio della mortalità è quella comprendente le indagini sulle cause di morte e le popolazioni comunali fornite dall'ISTAT ed elaborate dall' Ufficio di statistica dell’Istituto Superiore di Sanità, che costituiscono la Base di Dati sulla Mortalità in Italia.</w:t>
      </w:r>
    </w:p>
    <w:p w:rsidR="00C336C2" w:rsidRPr="00CC12FD" w:rsidRDefault="00C336C2" w:rsidP="00042B53">
      <w:pPr>
        <w:spacing w:before="120" w:after="120" w:line="360" w:lineRule="auto"/>
        <w:jc w:val="both"/>
        <w:rPr>
          <w:rFonts w:ascii="Arial" w:hAnsi="Arial" w:cs="Arial"/>
          <w:sz w:val="24"/>
          <w:szCs w:val="24"/>
        </w:rPr>
      </w:pPr>
      <w:r w:rsidRPr="00CC12FD">
        <w:rPr>
          <w:rFonts w:ascii="Arial" w:hAnsi="Arial" w:cs="Arial"/>
          <w:sz w:val="24"/>
          <w:szCs w:val="24"/>
        </w:rPr>
        <w:t>Essa garantisce la qualità e la omogeneità della codifica, effettuata dall’ISTAT.</w:t>
      </w:r>
    </w:p>
    <w:p w:rsidR="00C336C2" w:rsidRPr="00D660FC" w:rsidRDefault="00C336C2" w:rsidP="00770F3F">
      <w:pPr>
        <w:pStyle w:val="Titolo3"/>
      </w:pPr>
      <w:bookmarkStart w:id="5" w:name="_Toc409780581"/>
      <w:r w:rsidRPr="00D660FC">
        <w:t>Periodo temporale</w:t>
      </w:r>
      <w:bookmarkEnd w:id="5"/>
    </w:p>
    <w:p w:rsidR="00C336C2" w:rsidRPr="00CC12FD" w:rsidRDefault="00C336C2" w:rsidP="00042B53">
      <w:pPr>
        <w:spacing w:before="120" w:after="120" w:line="360" w:lineRule="auto"/>
        <w:jc w:val="both"/>
        <w:rPr>
          <w:rFonts w:ascii="Arial" w:hAnsi="Arial" w:cs="Arial"/>
          <w:sz w:val="24"/>
          <w:szCs w:val="24"/>
        </w:rPr>
      </w:pPr>
      <w:r w:rsidRPr="00CC12FD">
        <w:rPr>
          <w:rFonts w:ascii="Arial" w:hAnsi="Arial" w:cs="Arial"/>
          <w:sz w:val="24"/>
          <w:szCs w:val="24"/>
        </w:rPr>
        <w:t>Sono stati analizzati i dati relativi al periodo 2003-2010 (anno più recente disponibile</w:t>
      </w:r>
      <w:r w:rsidR="007F4172">
        <w:rPr>
          <w:rFonts w:ascii="Arial" w:hAnsi="Arial" w:cs="Arial"/>
          <w:sz w:val="24"/>
          <w:szCs w:val="24"/>
        </w:rPr>
        <w:t xml:space="preserve"> al momento dell’effettuazione del lavoro</w:t>
      </w:r>
      <w:r w:rsidRPr="00CC12FD">
        <w:rPr>
          <w:rFonts w:ascii="Arial" w:hAnsi="Arial" w:cs="Arial"/>
          <w:sz w:val="24"/>
          <w:szCs w:val="24"/>
        </w:rPr>
        <w:t>); permane il debito informativo relativo al biennio 2004-2005, non reso disponibile dall’ISTAT.</w:t>
      </w:r>
    </w:p>
    <w:p w:rsidR="00C336C2" w:rsidRPr="00D660FC" w:rsidRDefault="00C336C2" w:rsidP="00770F3F">
      <w:pPr>
        <w:pStyle w:val="Titolo3"/>
      </w:pPr>
      <w:bookmarkStart w:id="6" w:name="_Toc409780582"/>
      <w:r w:rsidRPr="00D660FC">
        <w:t>Le cause di morte</w:t>
      </w:r>
      <w:bookmarkEnd w:id="6"/>
    </w:p>
    <w:p w:rsidR="00C336C2" w:rsidRPr="00CC12FD" w:rsidRDefault="00C336C2" w:rsidP="00042B53">
      <w:pPr>
        <w:spacing w:before="120" w:after="120" w:line="360" w:lineRule="auto"/>
        <w:jc w:val="both"/>
        <w:rPr>
          <w:rFonts w:ascii="Arial" w:hAnsi="Arial" w:cs="Arial"/>
          <w:sz w:val="24"/>
          <w:szCs w:val="24"/>
        </w:rPr>
      </w:pPr>
      <w:r w:rsidRPr="00CC12FD">
        <w:rPr>
          <w:rFonts w:ascii="Arial" w:hAnsi="Arial" w:cs="Arial"/>
          <w:sz w:val="24"/>
          <w:szCs w:val="24"/>
        </w:rPr>
        <w:t xml:space="preserve">Le cause di morte vengono classificate a livello internazionale secondo un Sistema di Codifica denominato ICD (International </w:t>
      </w:r>
      <w:proofErr w:type="spellStart"/>
      <w:r w:rsidRPr="00CC12FD">
        <w:rPr>
          <w:rFonts w:ascii="Arial" w:hAnsi="Arial" w:cs="Arial"/>
          <w:sz w:val="24"/>
          <w:szCs w:val="24"/>
        </w:rPr>
        <w:t>Classification</w:t>
      </w:r>
      <w:proofErr w:type="spellEnd"/>
      <w:r w:rsidRPr="00CC12FD">
        <w:rPr>
          <w:rFonts w:ascii="Arial" w:hAnsi="Arial" w:cs="Arial"/>
          <w:sz w:val="24"/>
          <w:szCs w:val="24"/>
        </w:rPr>
        <w:t xml:space="preserve"> of </w:t>
      </w:r>
      <w:proofErr w:type="spellStart"/>
      <w:r w:rsidRPr="00CC12FD">
        <w:rPr>
          <w:rFonts w:ascii="Arial" w:hAnsi="Arial" w:cs="Arial"/>
          <w:sz w:val="24"/>
          <w:szCs w:val="24"/>
        </w:rPr>
        <w:t>Diseases</w:t>
      </w:r>
      <w:proofErr w:type="spellEnd"/>
      <w:r w:rsidRPr="00CC12FD">
        <w:rPr>
          <w:rFonts w:ascii="Arial" w:hAnsi="Arial" w:cs="Arial"/>
          <w:sz w:val="24"/>
          <w:szCs w:val="24"/>
        </w:rPr>
        <w:t>) elaborato dall’OMS; esso viene sottoposto periodicamente (circa ogni 10-15 anni) ad aggiornamenti, per adottare classificazioni sempre più analitiche e rispondenti al progredire delle conoscenze mediche sulle patologie, denominate “Revisioni”.</w:t>
      </w:r>
    </w:p>
    <w:p w:rsidR="00C336C2" w:rsidRPr="00CC12FD" w:rsidRDefault="00C336C2" w:rsidP="00042B53">
      <w:pPr>
        <w:spacing w:before="120" w:after="120" w:line="360" w:lineRule="auto"/>
        <w:jc w:val="both"/>
        <w:rPr>
          <w:rFonts w:ascii="Arial" w:hAnsi="Arial" w:cs="Arial"/>
          <w:sz w:val="24"/>
          <w:szCs w:val="24"/>
        </w:rPr>
      </w:pPr>
      <w:r w:rsidRPr="00CC12FD">
        <w:rPr>
          <w:rFonts w:ascii="Arial" w:hAnsi="Arial" w:cs="Arial"/>
          <w:sz w:val="24"/>
          <w:szCs w:val="24"/>
        </w:rPr>
        <w:t>La classificazione adottata in Italia fino alla mortalità dell’anno 2002 è stata la nona revisione (in sigla ICD-9)</w:t>
      </w:r>
      <w:r w:rsidR="007242A0" w:rsidRPr="00CC12FD">
        <w:rPr>
          <w:rStyle w:val="Rimandonotaapidipagina"/>
          <w:rFonts w:ascii="Arial" w:hAnsi="Arial" w:cs="Arial"/>
          <w:sz w:val="24"/>
          <w:szCs w:val="24"/>
        </w:rPr>
        <w:t xml:space="preserve"> </w:t>
      </w:r>
      <w:r w:rsidR="007242A0" w:rsidRPr="00CC12FD">
        <w:rPr>
          <w:rStyle w:val="Rimandonotaapidipagina"/>
          <w:rFonts w:ascii="Arial" w:hAnsi="Arial" w:cs="Arial"/>
          <w:sz w:val="24"/>
          <w:szCs w:val="24"/>
        </w:rPr>
        <w:footnoteReference w:id="1"/>
      </w:r>
      <w:r w:rsidRPr="00CC12FD">
        <w:rPr>
          <w:rFonts w:ascii="Arial" w:hAnsi="Arial" w:cs="Arial"/>
          <w:sz w:val="24"/>
          <w:szCs w:val="24"/>
        </w:rPr>
        <w:t>. A partire dall’anno 2003 è stata adottata anche in Italia la classificazione tutt’ora vigente, la decima revisione (ICD-10)</w:t>
      </w:r>
      <w:r w:rsidR="007242A0" w:rsidRPr="00CC12FD">
        <w:rPr>
          <w:rStyle w:val="Rimandonotaapidipagina"/>
          <w:rFonts w:ascii="Arial" w:hAnsi="Arial" w:cs="Arial"/>
          <w:sz w:val="24"/>
          <w:szCs w:val="24"/>
        </w:rPr>
        <w:footnoteReference w:id="2"/>
      </w:r>
      <w:r w:rsidRPr="00CC12FD">
        <w:rPr>
          <w:rFonts w:ascii="Arial" w:hAnsi="Arial" w:cs="Arial"/>
          <w:sz w:val="24"/>
          <w:szCs w:val="24"/>
        </w:rPr>
        <w:t>.</w:t>
      </w:r>
    </w:p>
    <w:p w:rsidR="00E75597" w:rsidRPr="00CC12FD" w:rsidRDefault="00E75597" w:rsidP="00E75597">
      <w:pPr>
        <w:spacing w:before="120" w:after="120" w:line="360" w:lineRule="auto"/>
        <w:jc w:val="both"/>
        <w:rPr>
          <w:rFonts w:ascii="Arial" w:hAnsi="Arial" w:cs="Arial"/>
          <w:sz w:val="24"/>
          <w:szCs w:val="24"/>
        </w:rPr>
      </w:pPr>
      <w:r w:rsidRPr="00CC12FD">
        <w:rPr>
          <w:rFonts w:ascii="Arial" w:hAnsi="Arial" w:cs="Arial"/>
          <w:sz w:val="24"/>
          <w:szCs w:val="24"/>
        </w:rPr>
        <w:t>La scelta delle cause è stata svolta seguendo il protocollo del Progetto SENTIERI – Studio Epidemiologico Nazionale dei Territori e degli Insediamenti Esposti a Rischio di</w:t>
      </w:r>
      <w:r w:rsidR="005F7851">
        <w:rPr>
          <w:rFonts w:ascii="Arial" w:hAnsi="Arial" w:cs="Arial"/>
          <w:sz w:val="24"/>
          <w:szCs w:val="24"/>
        </w:rPr>
        <w:t xml:space="preserve"> </w:t>
      </w:r>
      <w:proofErr w:type="gramStart"/>
      <w:r w:rsidRPr="00CC12FD">
        <w:rPr>
          <w:rFonts w:ascii="Arial" w:hAnsi="Arial" w:cs="Arial"/>
          <w:sz w:val="24"/>
          <w:szCs w:val="24"/>
        </w:rPr>
        <w:lastRenderedPageBreak/>
        <w:t>Inquinamento</w:t>
      </w:r>
      <w:r w:rsidR="005F7851">
        <w:rPr>
          <w:rStyle w:val="Rimandonotaapidipagina"/>
          <w:rFonts w:ascii="Arial" w:hAnsi="Arial" w:cs="Arial"/>
          <w:sz w:val="24"/>
          <w:szCs w:val="24"/>
        </w:rPr>
        <w:footnoteReference w:id="3"/>
      </w:r>
      <w:r w:rsidR="005F7851">
        <w:rPr>
          <w:rFonts w:ascii="Arial" w:hAnsi="Arial" w:cs="Arial"/>
          <w:sz w:val="24"/>
          <w:szCs w:val="24"/>
        </w:rPr>
        <w:t>,</w:t>
      </w:r>
      <w:r w:rsidR="005F7851">
        <w:rPr>
          <w:rStyle w:val="Rimandonotaapidipagina"/>
          <w:rFonts w:ascii="Arial" w:hAnsi="Arial" w:cs="Arial"/>
          <w:sz w:val="24"/>
          <w:szCs w:val="24"/>
        </w:rPr>
        <w:footnoteReference w:id="4"/>
      </w:r>
      <w:r w:rsidRPr="00CC12FD">
        <w:rPr>
          <w:rFonts w:ascii="Arial" w:hAnsi="Arial" w:cs="Arial"/>
          <w:sz w:val="24"/>
          <w:szCs w:val="24"/>
        </w:rPr>
        <w:t>.</w:t>
      </w:r>
      <w:proofErr w:type="gramEnd"/>
      <w:r w:rsidRPr="00CC12FD">
        <w:rPr>
          <w:rFonts w:ascii="Arial" w:hAnsi="Arial" w:cs="Arial"/>
          <w:sz w:val="24"/>
          <w:szCs w:val="24"/>
        </w:rPr>
        <w:t xml:space="preserve"> L’elenco delle cause e dei </w:t>
      </w:r>
      <w:r w:rsidR="00351239">
        <w:rPr>
          <w:rFonts w:ascii="Arial" w:hAnsi="Arial" w:cs="Arial"/>
          <w:sz w:val="24"/>
          <w:szCs w:val="24"/>
        </w:rPr>
        <w:t>codici è contenuto nelle Tabella</w:t>
      </w:r>
      <w:r w:rsidRPr="00CC12FD">
        <w:rPr>
          <w:rFonts w:ascii="Arial" w:hAnsi="Arial" w:cs="Arial"/>
          <w:sz w:val="24"/>
          <w:szCs w:val="24"/>
        </w:rPr>
        <w:t xml:space="preserve"> 1 (tutte le età) e </w:t>
      </w:r>
      <w:r w:rsidR="00351239">
        <w:rPr>
          <w:rFonts w:ascii="Arial" w:hAnsi="Arial" w:cs="Arial"/>
          <w:sz w:val="24"/>
          <w:szCs w:val="24"/>
        </w:rPr>
        <w:t xml:space="preserve">nella Tabella </w:t>
      </w:r>
      <w:r w:rsidRPr="00CC12FD">
        <w:rPr>
          <w:rFonts w:ascii="Arial" w:hAnsi="Arial" w:cs="Arial"/>
          <w:sz w:val="24"/>
          <w:szCs w:val="24"/>
        </w:rPr>
        <w:t>2 (Età pediatrica, 0-14 anni)</w:t>
      </w:r>
    </w:p>
    <w:p w:rsidR="00E75597" w:rsidRPr="00E75597" w:rsidRDefault="00E75597" w:rsidP="00E75597">
      <w:pPr>
        <w:pStyle w:val="Titolo3"/>
      </w:pPr>
      <w:bookmarkStart w:id="7" w:name="_Toc409780583"/>
      <w:r w:rsidRPr="00E75597">
        <w:t>Approfondimento metodologico sulla codifica delle cause di morte</w:t>
      </w:r>
      <w:bookmarkEnd w:id="7"/>
    </w:p>
    <w:p w:rsidR="00E75597" w:rsidRPr="00CC12FD" w:rsidRDefault="003045B1" w:rsidP="00E75597">
      <w:pPr>
        <w:spacing w:before="120" w:after="120" w:line="360" w:lineRule="auto"/>
        <w:jc w:val="both"/>
        <w:rPr>
          <w:rFonts w:ascii="Arial" w:hAnsi="Arial" w:cs="Arial"/>
          <w:sz w:val="24"/>
          <w:szCs w:val="24"/>
        </w:rPr>
      </w:pPr>
      <w:r w:rsidRPr="00CC12FD">
        <w:rPr>
          <w:rFonts w:ascii="Arial" w:hAnsi="Arial" w:cs="Arial"/>
          <w:sz w:val="24"/>
          <w:szCs w:val="24"/>
        </w:rPr>
        <w:t>Allo scopo di ordinare malattie e traumatismi in gruppi tra loro correlati e attribuire dei codici alfanumerici a diagnosi di malattia, altri problemi di salute e a procedure diagnostiche e terapeutiche, n</w:t>
      </w:r>
      <w:r w:rsidR="00E75597" w:rsidRPr="00CC12FD">
        <w:rPr>
          <w:rFonts w:ascii="Arial" w:hAnsi="Arial" w:cs="Arial"/>
          <w:sz w:val="24"/>
          <w:szCs w:val="24"/>
        </w:rPr>
        <w:t xml:space="preserve">el 1893, la Conferenza dell’Istituto internazionale di statistica, che ebbe luogo a Chicago, approvò </w:t>
      </w:r>
      <w:proofErr w:type="gramStart"/>
      <w:r w:rsidR="00E75597" w:rsidRPr="00CC12FD">
        <w:rPr>
          <w:rFonts w:ascii="Arial" w:hAnsi="Arial" w:cs="Arial"/>
          <w:sz w:val="24"/>
          <w:szCs w:val="24"/>
        </w:rPr>
        <w:t>la  Classificazione</w:t>
      </w:r>
      <w:proofErr w:type="gramEnd"/>
      <w:r w:rsidR="00E75597" w:rsidRPr="00CC12FD">
        <w:rPr>
          <w:rFonts w:ascii="Arial" w:hAnsi="Arial" w:cs="Arial"/>
          <w:sz w:val="24"/>
          <w:szCs w:val="24"/>
        </w:rPr>
        <w:t xml:space="preserve"> internazionale delle cause di morte. In Italia questa Classificazione fu seguita dal 1924.</w:t>
      </w:r>
    </w:p>
    <w:p w:rsidR="00C569F1" w:rsidRPr="00CC12FD" w:rsidRDefault="00C569F1" w:rsidP="00E75597">
      <w:pPr>
        <w:spacing w:before="120" w:after="120" w:line="360" w:lineRule="auto"/>
        <w:jc w:val="both"/>
        <w:rPr>
          <w:rFonts w:ascii="Arial" w:hAnsi="Arial" w:cs="Arial"/>
          <w:sz w:val="24"/>
          <w:szCs w:val="24"/>
        </w:rPr>
      </w:pPr>
      <w:r w:rsidRPr="00CC12FD">
        <w:rPr>
          <w:rFonts w:ascii="Arial" w:hAnsi="Arial" w:cs="Arial"/>
          <w:sz w:val="24"/>
          <w:szCs w:val="24"/>
        </w:rPr>
        <w:t>Il sistema ICD rispetta le caratteristiche di un qualsiasi sistema di classificazione, ovvero:</w:t>
      </w:r>
    </w:p>
    <w:p w:rsidR="00C569F1" w:rsidRPr="00CC12FD" w:rsidRDefault="00C569F1" w:rsidP="00C569F1">
      <w:pPr>
        <w:pStyle w:val="Paragrafoelenco"/>
        <w:numPr>
          <w:ilvl w:val="0"/>
          <w:numId w:val="5"/>
        </w:numPr>
        <w:spacing w:before="120" w:after="120" w:line="360" w:lineRule="auto"/>
        <w:jc w:val="both"/>
        <w:rPr>
          <w:rFonts w:ascii="Arial" w:hAnsi="Arial" w:cs="Arial"/>
          <w:sz w:val="24"/>
          <w:szCs w:val="24"/>
        </w:rPr>
      </w:pPr>
      <w:r w:rsidRPr="00CC12FD">
        <w:rPr>
          <w:rFonts w:ascii="Arial" w:hAnsi="Arial" w:cs="Arial"/>
          <w:sz w:val="24"/>
          <w:szCs w:val="24"/>
          <w:u w:val="single"/>
        </w:rPr>
        <w:t>Esaustività</w:t>
      </w:r>
      <w:r w:rsidRPr="00CC12FD">
        <w:rPr>
          <w:rFonts w:ascii="Arial" w:hAnsi="Arial" w:cs="Arial"/>
          <w:sz w:val="24"/>
          <w:szCs w:val="24"/>
        </w:rPr>
        <w:t>: tutte le entità trovano una loro collocazione entro i gruppi</w:t>
      </w:r>
    </w:p>
    <w:p w:rsidR="00C569F1" w:rsidRPr="00CC12FD" w:rsidRDefault="00C569F1" w:rsidP="00C569F1">
      <w:pPr>
        <w:pStyle w:val="Paragrafoelenco"/>
        <w:numPr>
          <w:ilvl w:val="0"/>
          <w:numId w:val="5"/>
        </w:numPr>
        <w:spacing w:before="120" w:after="120" w:line="360" w:lineRule="auto"/>
        <w:jc w:val="both"/>
        <w:rPr>
          <w:rFonts w:ascii="Arial" w:hAnsi="Arial" w:cs="Arial"/>
          <w:sz w:val="24"/>
          <w:szCs w:val="24"/>
        </w:rPr>
      </w:pPr>
      <w:r w:rsidRPr="00CC12FD">
        <w:rPr>
          <w:rFonts w:ascii="Arial" w:hAnsi="Arial" w:cs="Arial"/>
          <w:sz w:val="24"/>
          <w:szCs w:val="24"/>
          <w:u w:val="single"/>
        </w:rPr>
        <w:t>Mutua esclusività</w:t>
      </w:r>
      <w:r w:rsidRPr="00CC12FD">
        <w:rPr>
          <w:rFonts w:ascii="Arial" w:hAnsi="Arial" w:cs="Arial"/>
          <w:sz w:val="24"/>
          <w:szCs w:val="24"/>
        </w:rPr>
        <w:t>: ciascuna entità è classificabile soltanto in uno dei raggruppamenti finali della classificazione</w:t>
      </w:r>
    </w:p>
    <w:p w:rsidR="00C569F1" w:rsidRPr="00CC12FD" w:rsidRDefault="00C569F1" w:rsidP="00C569F1">
      <w:pPr>
        <w:pStyle w:val="Paragrafoelenco"/>
        <w:numPr>
          <w:ilvl w:val="0"/>
          <w:numId w:val="5"/>
        </w:numPr>
        <w:spacing w:before="120" w:after="120" w:line="360" w:lineRule="auto"/>
        <w:jc w:val="both"/>
        <w:rPr>
          <w:rFonts w:ascii="Arial" w:hAnsi="Arial" w:cs="Arial"/>
          <w:sz w:val="24"/>
          <w:szCs w:val="24"/>
          <w:u w:val="single"/>
        </w:rPr>
      </w:pPr>
      <w:r w:rsidRPr="00CC12FD">
        <w:rPr>
          <w:rFonts w:ascii="Arial" w:hAnsi="Arial" w:cs="Arial"/>
          <w:sz w:val="24"/>
          <w:szCs w:val="24"/>
          <w:u w:val="single"/>
        </w:rPr>
        <w:t>Numero limitato di raggruppamenti</w:t>
      </w:r>
    </w:p>
    <w:p w:rsidR="00C569F1" w:rsidRPr="00CC12FD" w:rsidRDefault="00C569F1" w:rsidP="00C569F1">
      <w:pPr>
        <w:pStyle w:val="Paragrafoelenco"/>
        <w:numPr>
          <w:ilvl w:val="0"/>
          <w:numId w:val="5"/>
        </w:numPr>
        <w:spacing w:before="120" w:after="120" w:line="360" w:lineRule="auto"/>
        <w:jc w:val="both"/>
        <w:rPr>
          <w:rFonts w:ascii="Arial" w:hAnsi="Arial" w:cs="Arial"/>
          <w:sz w:val="24"/>
          <w:szCs w:val="24"/>
        </w:rPr>
      </w:pPr>
      <w:r w:rsidRPr="00CC12FD">
        <w:rPr>
          <w:rFonts w:ascii="Arial" w:hAnsi="Arial" w:cs="Arial"/>
          <w:sz w:val="24"/>
          <w:szCs w:val="24"/>
          <w:u w:val="single"/>
        </w:rPr>
        <w:t>Specificità dei raggruppamenti</w:t>
      </w:r>
      <w:r w:rsidRPr="00CC12FD">
        <w:rPr>
          <w:rFonts w:ascii="Arial" w:hAnsi="Arial" w:cs="Arial"/>
          <w:sz w:val="24"/>
          <w:szCs w:val="24"/>
        </w:rPr>
        <w:t xml:space="preserve"> in ragione della rilevanza in sanità pubblica</w:t>
      </w:r>
    </w:p>
    <w:p w:rsidR="003045B1" w:rsidRPr="00CC12FD" w:rsidRDefault="00E75597" w:rsidP="00E75597">
      <w:pPr>
        <w:spacing w:before="120" w:after="120" w:line="360" w:lineRule="auto"/>
        <w:jc w:val="both"/>
        <w:rPr>
          <w:rFonts w:ascii="Arial" w:hAnsi="Arial" w:cs="Arial"/>
          <w:sz w:val="24"/>
          <w:szCs w:val="24"/>
        </w:rPr>
      </w:pPr>
      <w:r w:rsidRPr="00CC12FD">
        <w:rPr>
          <w:rFonts w:ascii="Arial" w:hAnsi="Arial" w:cs="Arial"/>
          <w:sz w:val="24"/>
          <w:szCs w:val="24"/>
        </w:rPr>
        <w:t xml:space="preserve">Sottoposta periodicamente a revisione, la Classificazione Internazionale, a partire dalla VI revisione (1948), fu adottata anche per rilevare le cause di morbosità oltre che di </w:t>
      </w:r>
      <w:proofErr w:type="gramStart"/>
      <w:r w:rsidRPr="00CC12FD">
        <w:rPr>
          <w:rFonts w:ascii="Arial" w:hAnsi="Arial" w:cs="Arial"/>
          <w:sz w:val="24"/>
          <w:szCs w:val="24"/>
        </w:rPr>
        <w:t>mortalità .</w:t>
      </w:r>
      <w:proofErr w:type="gramEnd"/>
      <w:r w:rsidRPr="00CC12FD">
        <w:rPr>
          <w:rFonts w:ascii="Arial" w:hAnsi="Arial" w:cs="Arial"/>
          <w:sz w:val="24"/>
          <w:szCs w:val="24"/>
        </w:rPr>
        <w:t xml:space="preserve"> Nel 1975, a Ginevra, nel corso della 29a Assemblea della Organizzazione Mondiale della Sanità è stata approvata la IX Revisione della Classificazione (ICD</w:t>
      </w:r>
      <w:r w:rsidR="007F4172">
        <w:rPr>
          <w:rFonts w:ascii="Arial" w:hAnsi="Arial" w:cs="Arial"/>
          <w:sz w:val="24"/>
          <w:szCs w:val="24"/>
        </w:rPr>
        <w:t>-</w:t>
      </w:r>
      <w:r w:rsidRPr="00CC12FD">
        <w:rPr>
          <w:rFonts w:ascii="Arial" w:hAnsi="Arial" w:cs="Arial"/>
          <w:sz w:val="24"/>
          <w:szCs w:val="24"/>
        </w:rPr>
        <w:t>9).</w:t>
      </w:r>
      <w:r w:rsidR="003045B1" w:rsidRPr="00CC12FD">
        <w:rPr>
          <w:rFonts w:ascii="Arial" w:hAnsi="Arial" w:cs="Arial"/>
          <w:sz w:val="24"/>
          <w:szCs w:val="24"/>
        </w:rPr>
        <w:t xml:space="preserve"> </w:t>
      </w:r>
    </w:p>
    <w:p w:rsidR="00EE7FAB" w:rsidRPr="00CC12FD" w:rsidRDefault="003045B1" w:rsidP="00E75597">
      <w:pPr>
        <w:spacing w:before="120" w:after="120" w:line="360" w:lineRule="auto"/>
        <w:jc w:val="both"/>
        <w:rPr>
          <w:rFonts w:ascii="Arial" w:hAnsi="Arial" w:cs="Arial"/>
          <w:sz w:val="24"/>
          <w:szCs w:val="24"/>
        </w:rPr>
      </w:pPr>
      <w:r w:rsidRPr="00CC12FD">
        <w:rPr>
          <w:rFonts w:ascii="Arial" w:hAnsi="Arial" w:cs="Arial"/>
          <w:sz w:val="24"/>
          <w:szCs w:val="24"/>
        </w:rPr>
        <w:t>In Italia, la IX revisione è stata adottata dal 1° gennaio 1979; sono codificati in ICD</w:t>
      </w:r>
      <w:r w:rsidR="007F4172">
        <w:rPr>
          <w:rFonts w:ascii="Arial" w:hAnsi="Arial" w:cs="Arial"/>
          <w:sz w:val="24"/>
          <w:szCs w:val="24"/>
        </w:rPr>
        <w:t>-</w:t>
      </w:r>
      <w:r w:rsidRPr="00CC12FD">
        <w:rPr>
          <w:rFonts w:ascii="Arial" w:hAnsi="Arial" w:cs="Arial"/>
          <w:sz w:val="24"/>
          <w:szCs w:val="24"/>
        </w:rPr>
        <w:t xml:space="preserve"> 9 i dati di mortalità italiani fino all’anno 2002</w:t>
      </w:r>
      <w:r w:rsidR="002A774E" w:rsidRPr="00CC12FD">
        <w:rPr>
          <w:rFonts w:ascii="Arial" w:hAnsi="Arial" w:cs="Arial"/>
          <w:sz w:val="24"/>
          <w:szCs w:val="24"/>
        </w:rPr>
        <w:t>.</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Nel 1990 nel corso della 43-esima Assemblea della Organizzazione Mondiale della Sanità è stata approvata la X Revisione della Classificazione (ICD</w:t>
      </w:r>
      <w:r w:rsidR="007F4172">
        <w:rPr>
          <w:rFonts w:ascii="Arial" w:hAnsi="Arial" w:cs="Arial"/>
          <w:sz w:val="24"/>
          <w:szCs w:val="24"/>
        </w:rPr>
        <w:t>-</w:t>
      </w:r>
      <w:r w:rsidRPr="00CC12FD">
        <w:rPr>
          <w:rFonts w:ascii="Arial" w:hAnsi="Arial" w:cs="Arial"/>
          <w:sz w:val="24"/>
          <w:szCs w:val="24"/>
        </w:rPr>
        <w:t xml:space="preserve">10). In Italia la classificazione ICD 10 è stata adottata per la prima volta per codificare la mortalità </w:t>
      </w:r>
      <w:proofErr w:type="gramStart"/>
      <w:r w:rsidRPr="00CC12FD">
        <w:rPr>
          <w:rFonts w:ascii="Arial" w:hAnsi="Arial" w:cs="Arial"/>
          <w:sz w:val="24"/>
          <w:szCs w:val="24"/>
        </w:rPr>
        <w:t>dell’ anno</w:t>
      </w:r>
      <w:proofErr w:type="gramEnd"/>
      <w:r w:rsidRPr="00CC12FD">
        <w:rPr>
          <w:rFonts w:ascii="Arial" w:hAnsi="Arial" w:cs="Arial"/>
          <w:sz w:val="24"/>
          <w:szCs w:val="24"/>
        </w:rPr>
        <w:t xml:space="preserve"> 2003.</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Principali differenze tra l’ICD</w:t>
      </w:r>
      <w:r w:rsidR="007F4172">
        <w:rPr>
          <w:rFonts w:ascii="Arial" w:hAnsi="Arial" w:cs="Arial"/>
          <w:sz w:val="24"/>
          <w:szCs w:val="24"/>
        </w:rPr>
        <w:t>-</w:t>
      </w:r>
      <w:r w:rsidRPr="00CC12FD">
        <w:rPr>
          <w:rFonts w:ascii="Arial" w:hAnsi="Arial" w:cs="Arial"/>
          <w:sz w:val="24"/>
          <w:szCs w:val="24"/>
        </w:rPr>
        <w:t>9 e l’ICD</w:t>
      </w:r>
      <w:r w:rsidR="007F4172">
        <w:rPr>
          <w:rFonts w:ascii="Arial" w:hAnsi="Arial" w:cs="Arial"/>
          <w:sz w:val="24"/>
          <w:szCs w:val="24"/>
        </w:rPr>
        <w:t>-</w:t>
      </w:r>
      <w:r w:rsidRPr="00CC12FD">
        <w:rPr>
          <w:rFonts w:ascii="Arial" w:hAnsi="Arial" w:cs="Arial"/>
          <w:sz w:val="24"/>
          <w:szCs w:val="24"/>
        </w:rPr>
        <w:t>10:</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1) Struttura formale dei Codici: da numerici ad alfanumerici</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 2) Aumento settori nosologici (da 17 a 20)</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 3) Spostamento di alcune condizioni morbose da un settore nosologico ad un altro</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lastRenderedPageBreak/>
        <w:t> 4) Introduzione di condizioni morbose prima non classificate in modo specifico</w:t>
      </w:r>
    </w:p>
    <w:p w:rsidR="00D2107A" w:rsidRPr="00CC12FD" w:rsidRDefault="00D2107A" w:rsidP="00D2107A">
      <w:pPr>
        <w:spacing w:before="120" w:after="120" w:line="360" w:lineRule="auto"/>
        <w:jc w:val="both"/>
        <w:rPr>
          <w:rFonts w:ascii="Arial" w:hAnsi="Arial" w:cs="Arial"/>
          <w:sz w:val="24"/>
          <w:szCs w:val="24"/>
        </w:rPr>
      </w:pPr>
      <w:r w:rsidRPr="00CC12FD">
        <w:rPr>
          <w:rFonts w:ascii="Arial" w:hAnsi="Arial" w:cs="Arial"/>
          <w:sz w:val="24"/>
          <w:szCs w:val="24"/>
        </w:rPr>
        <w:t> 5) Maggior dettaglio nella classificazione di numerose condizioni morbose</w:t>
      </w:r>
    </w:p>
    <w:p w:rsidR="00D2107A" w:rsidRPr="00CC12FD" w:rsidRDefault="00D2107A" w:rsidP="00D2107A">
      <w:pPr>
        <w:spacing w:after="120" w:line="360" w:lineRule="auto"/>
        <w:jc w:val="both"/>
        <w:rPr>
          <w:rFonts w:ascii="Arial" w:hAnsi="Arial" w:cs="Arial"/>
          <w:sz w:val="24"/>
          <w:szCs w:val="24"/>
        </w:rPr>
      </w:pPr>
      <w:r w:rsidRPr="00CC12FD">
        <w:rPr>
          <w:rFonts w:ascii="Arial" w:hAnsi="Arial" w:cs="Arial"/>
          <w:sz w:val="24"/>
          <w:szCs w:val="24"/>
        </w:rPr>
        <w:t>La struttura formale dei codici ICD</w:t>
      </w:r>
      <w:r w:rsidR="007F4172">
        <w:rPr>
          <w:rFonts w:ascii="Arial" w:hAnsi="Arial" w:cs="Arial"/>
          <w:sz w:val="24"/>
          <w:szCs w:val="24"/>
        </w:rPr>
        <w:t>-</w:t>
      </w:r>
      <w:r w:rsidRPr="00CC12FD">
        <w:rPr>
          <w:rFonts w:ascii="Arial" w:hAnsi="Arial" w:cs="Arial"/>
          <w:sz w:val="24"/>
          <w:szCs w:val="24"/>
        </w:rPr>
        <w:t xml:space="preserve">10 prevede l’utilizzo di una lettera seguita da due cifre, da un punto e infine da una cifra. Questa struttura verrà mantenuta nella versione </w:t>
      </w:r>
      <w:r w:rsidRPr="00CC12FD">
        <w:rPr>
          <w:rFonts w:ascii="Arial" w:hAnsi="Arial" w:cs="Arial"/>
          <w:bCs/>
          <w:sz w:val="24"/>
          <w:szCs w:val="24"/>
        </w:rPr>
        <w:t>ICD11</w:t>
      </w:r>
      <w:r w:rsidR="007F4172">
        <w:rPr>
          <w:rFonts w:ascii="Arial" w:hAnsi="Arial" w:cs="Arial"/>
          <w:sz w:val="24"/>
          <w:szCs w:val="24"/>
        </w:rPr>
        <w:t xml:space="preserve"> che è già in preparazione.</w:t>
      </w:r>
    </w:p>
    <w:p w:rsidR="00D2107A" w:rsidRPr="00CC12FD" w:rsidRDefault="00D2107A" w:rsidP="00E75597">
      <w:pPr>
        <w:spacing w:before="120" w:after="120" w:line="360" w:lineRule="auto"/>
        <w:jc w:val="both"/>
        <w:rPr>
          <w:rFonts w:ascii="Arial" w:hAnsi="Arial" w:cs="Arial"/>
          <w:sz w:val="24"/>
          <w:szCs w:val="24"/>
        </w:rPr>
      </w:pPr>
      <w:r w:rsidRPr="00CC12FD">
        <w:rPr>
          <w:rFonts w:ascii="Arial" w:hAnsi="Arial" w:cs="Arial"/>
          <w:sz w:val="24"/>
          <w:szCs w:val="24"/>
        </w:rPr>
        <w:t>Rispetto all’ICD</w:t>
      </w:r>
      <w:r w:rsidR="007F4172">
        <w:rPr>
          <w:rFonts w:ascii="Arial" w:hAnsi="Arial" w:cs="Arial"/>
          <w:sz w:val="24"/>
          <w:szCs w:val="24"/>
        </w:rPr>
        <w:t>-</w:t>
      </w:r>
      <w:r w:rsidRPr="00CC12FD">
        <w:rPr>
          <w:rFonts w:ascii="Arial" w:hAnsi="Arial" w:cs="Arial"/>
          <w:sz w:val="24"/>
          <w:szCs w:val="24"/>
        </w:rPr>
        <w:t>9, l’ICD</w:t>
      </w:r>
      <w:r w:rsidR="007F4172">
        <w:rPr>
          <w:rFonts w:ascii="Arial" w:hAnsi="Arial" w:cs="Arial"/>
          <w:sz w:val="24"/>
          <w:szCs w:val="24"/>
        </w:rPr>
        <w:t>-</w:t>
      </w:r>
      <w:r w:rsidRPr="00CC12FD">
        <w:rPr>
          <w:rFonts w:ascii="Arial" w:hAnsi="Arial" w:cs="Arial"/>
          <w:sz w:val="24"/>
          <w:szCs w:val="24"/>
        </w:rPr>
        <w:t>10 rappresenta un grande avanzamento, in termini di definizione più articolata e precisa delle varie patologie (il numero dei settori nosologici è aumentato da 17 a 20, le cause esterne sono entrate a far parte integrante della ICD, le voci diagnostiche distinte passa da circa 5.000 a circa 12.000).</w:t>
      </w:r>
      <w:r w:rsidR="00057186" w:rsidRPr="00CC12FD">
        <w:rPr>
          <w:rFonts w:ascii="Arial" w:hAnsi="Arial" w:cs="Arial"/>
          <w:sz w:val="24"/>
          <w:szCs w:val="24"/>
        </w:rPr>
        <w:t xml:space="preserve"> </w:t>
      </w:r>
      <w:r w:rsidR="007567C5" w:rsidRPr="00CC12FD">
        <w:rPr>
          <w:rFonts w:ascii="Arial" w:hAnsi="Arial" w:cs="Arial"/>
          <w:sz w:val="24"/>
          <w:szCs w:val="24"/>
        </w:rPr>
        <w:t>L</w:t>
      </w:r>
      <w:r w:rsidR="00057186" w:rsidRPr="00CC12FD">
        <w:rPr>
          <w:rFonts w:ascii="Arial" w:hAnsi="Arial" w:cs="Arial"/>
          <w:sz w:val="24"/>
          <w:szCs w:val="24"/>
        </w:rPr>
        <w:t>a struttura attuale consente di rappresentare fino a 26.000 voci.</w:t>
      </w:r>
    </w:p>
    <w:p w:rsidR="007567C5" w:rsidRPr="00CC12FD" w:rsidRDefault="007567C5" w:rsidP="007567C5">
      <w:pPr>
        <w:spacing w:after="120" w:line="360" w:lineRule="auto"/>
        <w:jc w:val="both"/>
        <w:rPr>
          <w:rFonts w:ascii="Arial" w:hAnsi="Arial" w:cs="Arial"/>
          <w:sz w:val="24"/>
          <w:szCs w:val="24"/>
        </w:rPr>
      </w:pPr>
      <w:r w:rsidRPr="00CC12FD">
        <w:rPr>
          <w:rFonts w:ascii="Arial" w:hAnsi="Arial" w:cs="Arial"/>
          <w:sz w:val="24"/>
          <w:szCs w:val="24"/>
        </w:rPr>
        <w:t>Alcune condizioni morbose sono state spostate da un settore nosologico ad un altro:</w:t>
      </w:r>
    </w:p>
    <w:p w:rsidR="007567C5" w:rsidRPr="00CC12FD" w:rsidRDefault="007567C5" w:rsidP="007567C5">
      <w:pPr>
        <w:pStyle w:val="Paragrafoelenco"/>
        <w:numPr>
          <w:ilvl w:val="0"/>
          <w:numId w:val="6"/>
        </w:numPr>
        <w:spacing w:before="120" w:after="120" w:line="360" w:lineRule="auto"/>
        <w:jc w:val="both"/>
        <w:rPr>
          <w:rFonts w:ascii="Arial" w:hAnsi="Arial" w:cs="Arial"/>
          <w:sz w:val="24"/>
          <w:szCs w:val="24"/>
        </w:rPr>
      </w:pPr>
      <w:r w:rsidRPr="00CC12FD">
        <w:rPr>
          <w:rFonts w:ascii="Arial" w:hAnsi="Arial" w:cs="Arial"/>
          <w:b/>
          <w:bCs/>
          <w:sz w:val="24"/>
          <w:szCs w:val="24"/>
        </w:rPr>
        <w:t>TIA (Attacco Ischemico Transitorio)</w:t>
      </w:r>
      <w:r w:rsidRPr="00CC12FD">
        <w:rPr>
          <w:rFonts w:ascii="Arial" w:hAnsi="Arial" w:cs="Arial"/>
          <w:bCs/>
          <w:sz w:val="24"/>
          <w:szCs w:val="24"/>
        </w:rPr>
        <w:t xml:space="preserve">: </w:t>
      </w:r>
      <w:r w:rsidRPr="00CC12FD">
        <w:rPr>
          <w:rFonts w:ascii="Arial" w:hAnsi="Arial" w:cs="Arial"/>
          <w:sz w:val="24"/>
          <w:szCs w:val="24"/>
        </w:rPr>
        <w:t>in ICD</w:t>
      </w:r>
      <w:r w:rsidR="007F4172">
        <w:rPr>
          <w:rFonts w:ascii="Arial" w:hAnsi="Arial" w:cs="Arial"/>
          <w:sz w:val="24"/>
          <w:szCs w:val="24"/>
        </w:rPr>
        <w:t>-</w:t>
      </w:r>
      <w:proofErr w:type="gramStart"/>
      <w:r w:rsidRPr="00CC12FD">
        <w:rPr>
          <w:rFonts w:ascii="Arial" w:hAnsi="Arial" w:cs="Arial"/>
          <w:sz w:val="24"/>
          <w:szCs w:val="24"/>
        </w:rPr>
        <w:t>9  tra</w:t>
      </w:r>
      <w:proofErr w:type="gramEnd"/>
      <w:r w:rsidRPr="00CC12FD">
        <w:rPr>
          <w:rFonts w:ascii="Arial" w:hAnsi="Arial" w:cs="Arial"/>
          <w:sz w:val="24"/>
          <w:szCs w:val="24"/>
        </w:rPr>
        <w:t xml:space="preserve"> le Malattie del Sistema Circolatorio, nei Disturbi Circola</w:t>
      </w:r>
      <w:r w:rsidR="007F4172">
        <w:rPr>
          <w:rFonts w:ascii="Arial" w:hAnsi="Arial" w:cs="Arial"/>
          <w:sz w:val="24"/>
          <w:szCs w:val="24"/>
        </w:rPr>
        <w:t>tori dell’Encefalo: 435; in ICD-</w:t>
      </w:r>
      <w:r w:rsidRPr="00CC12FD">
        <w:rPr>
          <w:rFonts w:ascii="Arial" w:hAnsi="Arial" w:cs="Arial"/>
          <w:sz w:val="24"/>
          <w:szCs w:val="24"/>
        </w:rPr>
        <w:t>10 tra le Malattie del Sistema Nervoso: G45.8 e G45.9</w:t>
      </w:r>
    </w:p>
    <w:p w:rsidR="007567C5" w:rsidRPr="00CC12FD" w:rsidRDefault="007567C5" w:rsidP="007567C5">
      <w:pPr>
        <w:pStyle w:val="Paragrafoelenco"/>
        <w:numPr>
          <w:ilvl w:val="0"/>
          <w:numId w:val="6"/>
        </w:numPr>
        <w:spacing w:before="120" w:after="120" w:line="360" w:lineRule="auto"/>
        <w:jc w:val="both"/>
        <w:rPr>
          <w:rFonts w:ascii="Arial" w:hAnsi="Arial" w:cs="Arial"/>
          <w:sz w:val="24"/>
          <w:szCs w:val="24"/>
        </w:rPr>
      </w:pPr>
      <w:r w:rsidRPr="00CC12FD">
        <w:rPr>
          <w:rFonts w:ascii="Arial" w:hAnsi="Arial" w:cs="Arial"/>
          <w:b/>
          <w:bCs/>
          <w:sz w:val="24"/>
          <w:szCs w:val="24"/>
        </w:rPr>
        <w:t>Shock Settico</w:t>
      </w:r>
      <w:r w:rsidRPr="00CC12FD">
        <w:rPr>
          <w:rFonts w:ascii="Arial" w:hAnsi="Arial" w:cs="Arial"/>
          <w:bCs/>
          <w:sz w:val="24"/>
          <w:szCs w:val="24"/>
        </w:rPr>
        <w:t xml:space="preserve">: </w:t>
      </w:r>
      <w:r w:rsidRPr="00CC12FD">
        <w:rPr>
          <w:rFonts w:ascii="Arial" w:hAnsi="Arial" w:cs="Arial"/>
          <w:sz w:val="24"/>
          <w:szCs w:val="24"/>
        </w:rPr>
        <w:t xml:space="preserve">in ICD9 tra i </w:t>
      </w:r>
      <w:r w:rsidRPr="00CC12FD">
        <w:rPr>
          <w:rFonts w:ascii="Arial" w:hAnsi="Arial" w:cs="Arial"/>
          <w:i/>
          <w:iCs/>
          <w:sz w:val="24"/>
          <w:szCs w:val="24"/>
        </w:rPr>
        <w:t>Sintomi, Segni, Stati Morbosi Mal Definiti</w:t>
      </w:r>
      <w:r w:rsidRPr="00CC12FD">
        <w:rPr>
          <w:rFonts w:ascii="Arial" w:hAnsi="Arial" w:cs="Arial"/>
          <w:sz w:val="24"/>
          <w:szCs w:val="24"/>
        </w:rPr>
        <w:t xml:space="preserve"> </w:t>
      </w:r>
      <w:r w:rsidRPr="00CC12FD">
        <w:rPr>
          <w:rFonts w:ascii="Arial" w:hAnsi="Arial" w:cs="Arial"/>
          <w:i/>
          <w:iCs/>
          <w:sz w:val="24"/>
          <w:szCs w:val="24"/>
        </w:rPr>
        <w:t xml:space="preserve">Shock senza menzione di Trauma </w:t>
      </w:r>
      <w:r w:rsidRPr="00CC12FD">
        <w:rPr>
          <w:rFonts w:ascii="Arial" w:hAnsi="Arial" w:cs="Arial"/>
          <w:sz w:val="24"/>
          <w:szCs w:val="24"/>
        </w:rPr>
        <w:t>785.5; in ICD</w:t>
      </w:r>
      <w:r w:rsidR="007F4172">
        <w:rPr>
          <w:rFonts w:ascii="Arial" w:hAnsi="Arial" w:cs="Arial"/>
          <w:sz w:val="24"/>
          <w:szCs w:val="24"/>
        </w:rPr>
        <w:t>-</w:t>
      </w:r>
      <w:r w:rsidRPr="00CC12FD">
        <w:rPr>
          <w:rFonts w:ascii="Arial" w:hAnsi="Arial" w:cs="Arial"/>
          <w:sz w:val="24"/>
          <w:szCs w:val="24"/>
        </w:rPr>
        <w:t xml:space="preserve">10 diventa </w:t>
      </w:r>
      <w:r w:rsidRPr="00CC12FD">
        <w:rPr>
          <w:rFonts w:ascii="Arial" w:hAnsi="Arial" w:cs="Arial"/>
          <w:i/>
          <w:iCs/>
          <w:sz w:val="24"/>
          <w:szCs w:val="24"/>
        </w:rPr>
        <w:t>Setticemia Non Specificata</w:t>
      </w:r>
      <w:r w:rsidRPr="00CC12FD">
        <w:rPr>
          <w:rFonts w:ascii="Arial" w:hAnsi="Arial" w:cs="Arial"/>
          <w:sz w:val="24"/>
          <w:szCs w:val="24"/>
        </w:rPr>
        <w:t xml:space="preserve"> (A41.9) tra le Malattie Infettive</w:t>
      </w:r>
    </w:p>
    <w:p w:rsidR="007567C5" w:rsidRPr="00CC12FD" w:rsidRDefault="007567C5" w:rsidP="007567C5">
      <w:pPr>
        <w:pStyle w:val="Paragrafoelenco"/>
        <w:numPr>
          <w:ilvl w:val="0"/>
          <w:numId w:val="6"/>
        </w:numPr>
        <w:spacing w:before="120" w:after="120" w:line="360" w:lineRule="auto"/>
        <w:jc w:val="both"/>
        <w:rPr>
          <w:rFonts w:ascii="Arial" w:hAnsi="Arial" w:cs="Arial"/>
          <w:sz w:val="24"/>
          <w:szCs w:val="24"/>
        </w:rPr>
      </w:pPr>
      <w:r w:rsidRPr="00CC12FD">
        <w:rPr>
          <w:rFonts w:ascii="Arial" w:hAnsi="Arial" w:cs="Arial"/>
          <w:b/>
          <w:bCs/>
          <w:sz w:val="24"/>
          <w:szCs w:val="24"/>
        </w:rPr>
        <w:t>Collasso Respiratorio</w:t>
      </w:r>
      <w:r w:rsidRPr="00CC12FD">
        <w:rPr>
          <w:rFonts w:ascii="Arial" w:hAnsi="Arial" w:cs="Arial"/>
          <w:sz w:val="24"/>
          <w:szCs w:val="24"/>
        </w:rPr>
        <w:t>: in ICD</w:t>
      </w:r>
      <w:r w:rsidR="007F4172">
        <w:rPr>
          <w:rFonts w:ascii="Arial" w:hAnsi="Arial" w:cs="Arial"/>
          <w:sz w:val="24"/>
          <w:szCs w:val="24"/>
        </w:rPr>
        <w:t>-</w:t>
      </w:r>
      <w:r w:rsidRPr="00CC12FD">
        <w:rPr>
          <w:rFonts w:ascii="Arial" w:hAnsi="Arial" w:cs="Arial"/>
          <w:sz w:val="24"/>
          <w:szCs w:val="24"/>
        </w:rPr>
        <w:t xml:space="preserve">9 tra i </w:t>
      </w:r>
      <w:r w:rsidRPr="00CC12FD">
        <w:rPr>
          <w:rFonts w:ascii="Arial" w:hAnsi="Arial" w:cs="Arial"/>
          <w:i/>
          <w:iCs/>
          <w:sz w:val="24"/>
          <w:szCs w:val="24"/>
        </w:rPr>
        <w:t>Sintomi, Segni, Stati Morbosi Mal Definiti 799.</w:t>
      </w:r>
      <w:r w:rsidRPr="00CC12FD">
        <w:rPr>
          <w:rFonts w:ascii="Arial" w:hAnsi="Arial" w:cs="Arial"/>
          <w:iCs/>
          <w:sz w:val="24"/>
          <w:szCs w:val="24"/>
        </w:rPr>
        <w:t xml:space="preserve">1; </w:t>
      </w:r>
      <w:r w:rsidR="007F4172">
        <w:rPr>
          <w:rFonts w:ascii="Arial" w:hAnsi="Arial" w:cs="Arial"/>
          <w:sz w:val="24"/>
          <w:szCs w:val="24"/>
        </w:rPr>
        <w:t>in ICD-</w:t>
      </w:r>
      <w:r w:rsidRPr="00CC12FD">
        <w:rPr>
          <w:rFonts w:ascii="Arial" w:hAnsi="Arial" w:cs="Arial"/>
          <w:sz w:val="24"/>
          <w:szCs w:val="24"/>
        </w:rPr>
        <w:t xml:space="preserve">10 diventa </w:t>
      </w:r>
      <w:r w:rsidRPr="00CC12FD">
        <w:rPr>
          <w:rFonts w:ascii="Arial" w:hAnsi="Arial" w:cs="Arial"/>
          <w:i/>
          <w:iCs/>
          <w:sz w:val="24"/>
          <w:szCs w:val="24"/>
        </w:rPr>
        <w:t xml:space="preserve">Insufficienza Respiratoria non Classificata altrove (J96) </w:t>
      </w:r>
      <w:r w:rsidRPr="00CC12FD">
        <w:rPr>
          <w:rFonts w:ascii="Arial" w:hAnsi="Arial" w:cs="Arial"/>
          <w:sz w:val="24"/>
          <w:szCs w:val="24"/>
        </w:rPr>
        <w:t>tra le malattie del sistema respiratorio</w:t>
      </w:r>
    </w:p>
    <w:p w:rsidR="007567C5" w:rsidRPr="00CC12FD" w:rsidRDefault="007567C5" w:rsidP="00E75597">
      <w:pPr>
        <w:spacing w:before="120" w:after="120" w:line="360" w:lineRule="auto"/>
        <w:jc w:val="both"/>
        <w:rPr>
          <w:rFonts w:ascii="Arial" w:hAnsi="Arial" w:cs="Arial"/>
          <w:sz w:val="24"/>
          <w:szCs w:val="24"/>
        </w:rPr>
      </w:pPr>
      <w:r w:rsidRPr="00CC12FD">
        <w:rPr>
          <w:rFonts w:ascii="Arial" w:hAnsi="Arial" w:cs="Arial"/>
          <w:sz w:val="24"/>
          <w:szCs w:val="24"/>
        </w:rPr>
        <w:t>Con l’IC</w:t>
      </w:r>
      <w:r w:rsidR="007F4172">
        <w:rPr>
          <w:rFonts w:ascii="Arial" w:hAnsi="Arial" w:cs="Arial"/>
          <w:sz w:val="24"/>
          <w:szCs w:val="24"/>
        </w:rPr>
        <w:t>-</w:t>
      </w:r>
      <w:r w:rsidRPr="00CC12FD">
        <w:rPr>
          <w:rFonts w:ascii="Arial" w:hAnsi="Arial" w:cs="Arial"/>
          <w:sz w:val="24"/>
          <w:szCs w:val="24"/>
        </w:rPr>
        <w:t>D10 sono state introdotte delle condizioni morbose prima non classificate in modo specifico:</w:t>
      </w:r>
    </w:p>
    <w:p w:rsidR="007567C5" w:rsidRPr="00CC12FD" w:rsidRDefault="007567C5" w:rsidP="007567C5">
      <w:pPr>
        <w:pStyle w:val="Paragrafoelenco"/>
        <w:numPr>
          <w:ilvl w:val="0"/>
          <w:numId w:val="7"/>
        </w:numPr>
        <w:spacing w:before="120" w:after="120" w:line="360" w:lineRule="auto"/>
        <w:jc w:val="both"/>
        <w:rPr>
          <w:rFonts w:ascii="Arial" w:hAnsi="Arial" w:cs="Arial"/>
          <w:sz w:val="24"/>
          <w:szCs w:val="24"/>
        </w:rPr>
      </w:pPr>
      <w:r w:rsidRPr="00CC12FD">
        <w:rPr>
          <w:rFonts w:ascii="Arial" w:hAnsi="Arial" w:cs="Arial"/>
          <w:b/>
          <w:bCs/>
          <w:sz w:val="24"/>
          <w:szCs w:val="24"/>
        </w:rPr>
        <w:t>AIDS</w:t>
      </w:r>
      <w:r w:rsidRPr="00CC12FD">
        <w:rPr>
          <w:rFonts w:ascii="Arial" w:hAnsi="Arial" w:cs="Arial"/>
          <w:bCs/>
          <w:sz w:val="24"/>
          <w:szCs w:val="24"/>
        </w:rPr>
        <w:t xml:space="preserve">: </w:t>
      </w:r>
      <w:r w:rsidRPr="00CC12FD">
        <w:rPr>
          <w:rFonts w:ascii="Arial" w:hAnsi="Arial" w:cs="Arial"/>
          <w:sz w:val="24"/>
          <w:szCs w:val="24"/>
        </w:rPr>
        <w:t xml:space="preserve">da 279.1 </w:t>
      </w:r>
      <w:r w:rsidRPr="00CC12FD">
        <w:rPr>
          <w:rFonts w:ascii="Arial" w:hAnsi="Arial" w:cs="Arial"/>
          <w:i/>
          <w:iCs/>
          <w:sz w:val="24"/>
          <w:szCs w:val="24"/>
        </w:rPr>
        <w:t xml:space="preserve">Deficit dell’Immunità Cellulare </w:t>
      </w:r>
      <w:r w:rsidRPr="00CC12FD">
        <w:rPr>
          <w:rFonts w:ascii="Arial" w:hAnsi="Arial" w:cs="Arial"/>
          <w:sz w:val="24"/>
          <w:szCs w:val="24"/>
        </w:rPr>
        <w:t xml:space="preserve">nel Settore </w:t>
      </w:r>
      <w:r w:rsidRPr="00CC12FD">
        <w:rPr>
          <w:rFonts w:ascii="Arial" w:hAnsi="Arial" w:cs="Arial"/>
          <w:i/>
          <w:iCs/>
          <w:sz w:val="24"/>
          <w:szCs w:val="24"/>
        </w:rPr>
        <w:t>Malattie delle Ghiandole Endocrine, della Nutrizione e del Metabolismo e Disturbi Immunitari</w:t>
      </w:r>
      <w:r w:rsidRPr="00CC12FD">
        <w:rPr>
          <w:rFonts w:ascii="Arial" w:hAnsi="Arial" w:cs="Arial"/>
          <w:sz w:val="24"/>
          <w:szCs w:val="24"/>
        </w:rPr>
        <w:t xml:space="preserve"> a </w:t>
      </w:r>
      <w:r w:rsidRPr="00CC12FD">
        <w:rPr>
          <w:rFonts w:ascii="Arial" w:hAnsi="Arial" w:cs="Arial"/>
          <w:i/>
          <w:iCs/>
          <w:sz w:val="24"/>
          <w:szCs w:val="24"/>
        </w:rPr>
        <w:t xml:space="preserve">Malattia da Virus della Immunodeficienza Umana </w:t>
      </w:r>
      <w:r w:rsidRPr="00CC12FD">
        <w:rPr>
          <w:rFonts w:ascii="Arial" w:hAnsi="Arial" w:cs="Arial"/>
          <w:sz w:val="24"/>
          <w:szCs w:val="24"/>
        </w:rPr>
        <w:t xml:space="preserve">nel Settore  </w:t>
      </w:r>
      <w:r w:rsidRPr="00CC12FD">
        <w:rPr>
          <w:rFonts w:ascii="Arial" w:hAnsi="Arial" w:cs="Arial"/>
          <w:i/>
          <w:iCs/>
          <w:sz w:val="24"/>
          <w:szCs w:val="24"/>
        </w:rPr>
        <w:t xml:space="preserve">Malattie Infettive e Parassitarie </w:t>
      </w:r>
      <w:r w:rsidRPr="00CC12FD">
        <w:rPr>
          <w:rFonts w:ascii="Arial" w:hAnsi="Arial" w:cs="Arial"/>
          <w:sz w:val="24"/>
          <w:szCs w:val="24"/>
        </w:rPr>
        <w:t xml:space="preserve">con 5 categorie (a seconda della classe di  malattia a cui l’HIV dà luogo, es. B21 neoplasie maligne)  espanse in  17 sotto-categorie (es. B21.0 Sarcoma di </w:t>
      </w:r>
      <w:proofErr w:type="spellStart"/>
      <w:r w:rsidRPr="00CC12FD">
        <w:rPr>
          <w:rFonts w:ascii="Arial" w:hAnsi="Arial" w:cs="Arial"/>
          <w:sz w:val="24"/>
          <w:szCs w:val="24"/>
        </w:rPr>
        <w:t>Kaposi</w:t>
      </w:r>
      <w:proofErr w:type="spellEnd"/>
      <w:r w:rsidRPr="00CC12FD">
        <w:rPr>
          <w:rFonts w:ascii="Arial" w:hAnsi="Arial" w:cs="Arial"/>
          <w:sz w:val="24"/>
          <w:szCs w:val="24"/>
        </w:rPr>
        <w:t xml:space="preserve">) [il Sarcoma di </w:t>
      </w:r>
      <w:proofErr w:type="spellStart"/>
      <w:r w:rsidRPr="00CC12FD">
        <w:rPr>
          <w:rFonts w:ascii="Arial" w:hAnsi="Arial" w:cs="Arial"/>
          <w:sz w:val="24"/>
          <w:szCs w:val="24"/>
        </w:rPr>
        <w:t>Kaposi</w:t>
      </w:r>
      <w:proofErr w:type="spellEnd"/>
      <w:r w:rsidRPr="00CC12FD">
        <w:rPr>
          <w:rFonts w:ascii="Arial" w:hAnsi="Arial" w:cs="Arial"/>
          <w:sz w:val="24"/>
          <w:szCs w:val="24"/>
        </w:rPr>
        <w:t xml:space="preserve"> non-AIDS è tra i Tumori: </w:t>
      </w:r>
      <w:r w:rsidRPr="00CC12FD">
        <w:rPr>
          <w:rFonts w:ascii="Arial" w:hAnsi="Arial" w:cs="Arial"/>
          <w:i/>
          <w:iCs/>
          <w:sz w:val="24"/>
          <w:szCs w:val="24"/>
        </w:rPr>
        <w:t xml:space="preserve">Sarcoma di </w:t>
      </w:r>
      <w:proofErr w:type="spellStart"/>
      <w:r w:rsidRPr="00CC12FD">
        <w:rPr>
          <w:rFonts w:ascii="Arial" w:hAnsi="Arial" w:cs="Arial"/>
          <w:i/>
          <w:iCs/>
          <w:sz w:val="24"/>
          <w:szCs w:val="24"/>
        </w:rPr>
        <w:t>Kaposi</w:t>
      </w:r>
      <w:proofErr w:type="spellEnd"/>
      <w:r w:rsidRPr="00CC12FD">
        <w:rPr>
          <w:rFonts w:ascii="Arial" w:hAnsi="Arial" w:cs="Arial"/>
          <w:sz w:val="24"/>
          <w:szCs w:val="24"/>
        </w:rPr>
        <w:t xml:space="preserve"> (C46), con 7 sotto-categorie (a seconda della sede]</w:t>
      </w:r>
    </w:p>
    <w:p w:rsidR="007567C5" w:rsidRPr="00CC12FD" w:rsidRDefault="00AE2E5D" w:rsidP="007567C5">
      <w:pPr>
        <w:pStyle w:val="Paragrafoelenco"/>
        <w:numPr>
          <w:ilvl w:val="0"/>
          <w:numId w:val="7"/>
        </w:numPr>
        <w:spacing w:before="120" w:after="120" w:line="360" w:lineRule="auto"/>
        <w:jc w:val="both"/>
        <w:rPr>
          <w:rFonts w:ascii="Arial" w:hAnsi="Arial" w:cs="Arial"/>
          <w:sz w:val="24"/>
          <w:szCs w:val="24"/>
        </w:rPr>
      </w:pPr>
      <w:r w:rsidRPr="00CC12FD">
        <w:rPr>
          <w:rFonts w:ascii="Arial" w:hAnsi="Arial" w:cs="Arial"/>
          <w:b/>
          <w:bCs/>
          <w:sz w:val="24"/>
          <w:szCs w:val="24"/>
        </w:rPr>
        <w:t>Epatite C</w:t>
      </w:r>
      <w:r w:rsidR="007567C5" w:rsidRPr="00CC12FD">
        <w:rPr>
          <w:rFonts w:ascii="Arial" w:hAnsi="Arial" w:cs="Arial"/>
          <w:sz w:val="24"/>
          <w:szCs w:val="24"/>
        </w:rPr>
        <w:t>: acuta B17.1, cronica B18.2</w:t>
      </w:r>
    </w:p>
    <w:p w:rsidR="007567C5" w:rsidRPr="00CC12FD" w:rsidRDefault="00AE2E5D" w:rsidP="007567C5">
      <w:pPr>
        <w:pStyle w:val="Paragrafoelenco"/>
        <w:numPr>
          <w:ilvl w:val="0"/>
          <w:numId w:val="7"/>
        </w:numPr>
        <w:spacing w:before="120" w:after="120" w:line="360" w:lineRule="auto"/>
        <w:jc w:val="both"/>
        <w:rPr>
          <w:rFonts w:ascii="Arial" w:hAnsi="Arial" w:cs="Arial"/>
          <w:sz w:val="24"/>
          <w:szCs w:val="24"/>
        </w:rPr>
      </w:pPr>
      <w:r w:rsidRPr="00CC12FD">
        <w:rPr>
          <w:rFonts w:ascii="Arial" w:hAnsi="Arial" w:cs="Arial"/>
          <w:b/>
          <w:bCs/>
          <w:sz w:val="24"/>
          <w:szCs w:val="24"/>
        </w:rPr>
        <w:t>Mesotelioma</w:t>
      </w:r>
      <w:r w:rsidR="007567C5" w:rsidRPr="00CC12FD">
        <w:rPr>
          <w:rFonts w:ascii="Arial" w:hAnsi="Arial" w:cs="Arial"/>
          <w:bCs/>
          <w:sz w:val="24"/>
          <w:szCs w:val="24"/>
        </w:rPr>
        <w:t>: In</w:t>
      </w:r>
      <w:r w:rsidR="007567C5" w:rsidRPr="00CC12FD">
        <w:rPr>
          <w:rFonts w:ascii="Arial" w:hAnsi="Arial" w:cs="Arial"/>
          <w:b/>
          <w:bCs/>
          <w:sz w:val="24"/>
          <w:szCs w:val="24"/>
        </w:rPr>
        <w:t xml:space="preserve"> </w:t>
      </w:r>
      <w:r w:rsidR="007F4172">
        <w:rPr>
          <w:rFonts w:ascii="Arial" w:hAnsi="Arial" w:cs="Arial"/>
          <w:bCs/>
          <w:sz w:val="24"/>
          <w:szCs w:val="24"/>
        </w:rPr>
        <w:t>ICD-</w:t>
      </w:r>
      <w:r w:rsidR="007567C5" w:rsidRPr="00CC12FD">
        <w:rPr>
          <w:rFonts w:ascii="Arial" w:hAnsi="Arial" w:cs="Arial"/>
          <w:bCs/>
          <w:sz w:val="24"/>
          <w:szCs w:val="24"/>
        </w:rPr>
        <w:t>9 il codice è 163.9</w:t>
      </w:r>
      <w:r w:rsidR="007567C5" w:rsidRPr="00CC12FD">
        <w:rPr>
          <w:rFonts w:ascii="Arial" w:hAnsi="Arial" w:cs="Arial"/>
          <w:b/>
          <w:bCs/>
          <w:sz w:val="24"/>
          <w:szCs w:val="24"/>
        </w:rPr>
        <w:t xml:space="preserve"> </w:t>
      </w:r>
      <w:r w:rsidR="007567C5" w:rsidRPr="00CC12FD">
        <w:rPr>
          <w:rFonts w:ascii="Arial" w:hAnsi="Arial" w:cs="Arial"/>
          <w:sz w:val="24"/>
          <w:szCs w:val="24"/>
        </w:rPr>
        <w:t xml:space="preserve">voce indifferenziata per </w:t>
      </w:r>
      <w:r w:rsidR="007567C5" w:rsidRPr="00CC12FD">
        <w:rPr>
          <w:rFonts w:ascii="Arial" w:hAnsi="Arial" w:cs="Arial"/>
          <w:i/>
          <w:iCs/>
          <w:sz w:val="24"/>
          <w:szCs w:val="24"/>
        </w:rPr>
        <w:t>Tumore Maligno della Pleura, NON specificato</w:t>
      </w:r>
      <w:r w:rsidR="007567C5" w:rsidRPr="00CC12FD">
        <w:rPr>
          <w:rFonts w:ascii="Arial" w:hAnsi="Arial" w:cs="Arial"/>
          <w:iCs/>
          <w:sz w:val="24"/>
          <w:szCs w:val="24"/>
        </w:rPr>
        <w:t xml:space="preserve">; </w:t>
      </w:r>
      <w:r w:rsidR="007F4172">
        <w:rPr>
          <w:rFonts w:ascii="Arial" w:hAnsi="Arial" w:cs="Arial"/>
          <w:bCs/>
          <w:sz w:val="24"/>
          <w:szCs w:val="24"/>
        </w:rPr>
        <w:t>In ICD-</w:t>
      </w:r>
      <w:r w:rsidR="007567C5" w:rsidRPr="00CC12FD">
        <w:rPr>
          <w:rFonts w:ascii="Arial" w:hAnsi="Arial" w:cs="Arial"/>
          <w:bCs/>
          <w:sz w:val="24"/>
          <w:szCs w:val="24"/>
        </w:rPr>
        <w:t xml:space="preserve">10 il codice è </w:t>
      </w:r>
      <w:r w:rsidR="007567C5" w:rsidRPr="00CC12FD">
        <w:rPr>
          <w:rFonts w:ascii="Arial" w:hAnsi="Arial" w:cs="Arial"/>
          <w:sz w:val="24"/>
          <w:szCs w:val="24"/>
        </w:rPr>
        <w:t>C45-</w:t>
      </w:r>
      <w:r w:rsidR="007567C5" w:rsidRPr="00CC12FD">
        <w:rPr>
          <w:rFonts w:ascii="Arial" w:hAnsi="Arial" w:cs="Arial"/>
          <w:i/>
          <w:iCs/>
          <w:sz w:val="24"/>
          <w:szCs w:val="24"/>
        </w:rPr>
        <w:t xml:space="preserve">Mesotelioma </w:t>
      </w:r>
      <w:r w:rsidR="007567C5" w:rsidRPr="00CC12FD">
        <w:rPr>
          <w:rFonts w:ascii="Arial" w:hAnsi="Arial" w:cs="Arial"/>
          <w:sz w:val="24"/>
          <w:szCs w:val="24"/>
        </w:rPr>
        <w:t>suddiviso in:</w:t>
      </w:r>
    </w:p>
    <w:p w:rsidR="007567C5" w:rsidRPr="00CC12FD" w:rsidRDefault="007567C5" w:rsidP="007567C5">
      <w:pPr>
        <w:pStyle w:val="Paragrafoelenco"/>
        <w:numPr>
          <w:ilvl w:val="1"/>
          <w:numId w:val="7"/>
        </w:numPr>
        <w:spacing w:before="120" w:after="120" w:line="360" w:lineRule="auto"/>
        <w:jc w:val="both"/>
        <w:rPr>
          <w:rFonts w:ascii="Arial" w:hAnsi="Arial" w:cs="Arial"/>
          <w:sz w:val="24"/>
          <w:szCs w:val="24"/>
        </w:rPr>
      </w:pPr>
      <w:proofErr w:type="gramStart"/>
      <w:r w:rsidRPr="00CC12FD">
        <w:rPr>
          <w:rFonts w:ascii="Arial" w:hAnsi="Arial" w:cs="Arial"/>
          <w:sz w:val="24"/>
          <w:szCs w:val="24"/>
        </w:rPr>
        <w:lastRenderedPageBreak/>
        <w:t xml:space="preserve">C45.0  </w:t>
      </w:r>
      <w:r w:rsidRPr="00CC12FD">
        <w:rPr>
          <w:rFonts w:ascii="Arial" w:hAnsi="Arial" w:cs="Arial"/>
          <w:i/>
          <w:iCs/>
          <w:sz w:val="24"/>
          <w:szCs w:val="24"/>
        </w:rPr>
        <w:t>M.</w:t>
      </w:r>
      <w:proofErr w:type="gramEnd"/>
      <w:r w:rsidRPr="00CC12FD">
        <w:rPr>
          <w:rFonts w:ascii="Arial" w:hAnsi="Arial" w:cs="Arial"/>
          <w:i/>
          <w:iCs/>
          <w:sz w:val="24"/>
          <w:szCs w:val="24"/>
        </w:rPr>
        <w:t xml:space="preserve"> della Pleura</w:t>
      </w:r>
    </w:p>
    <w:p w:rsidR="007567C5" w:rsidRPr="00CC12FD" w:rsidRDefault="007567C5" w:rsidP="007567C5">
      <w:pPr>
        <w:pStyle w:val="Paragrafoelenco"/>
        <w:numPr>
          <w:ilvl w:val="1"/>
          <w:numId w:val="7"/>
        </w:numPr>
        <w:spacing w:before="120" w:after="120" w:line="360" w:lineRule="auto"/>
        <w:jc w:val="both"/>
        <w:rPr>
          <w:rFonts w:ascii="Arial" w:hAnsi="Arial" w:cs="Arial"/>
          <w:sz w:val="24"/>
          <w:szCs w:val="24"/>
        </w:rPr>
      </w:pPr>
      <w:proofErr w:type="gramStart"/>
      <w:r w:rsidRPr="00CC12FD">
        <w:rPr>
          <w:rFonts w:ascii="Arial" w:hAnsi="Arial" w:cs="Arial"/>
          <w:sz w:val="24"/>
          <w:szCs w:val="24"/>
        </w:rPr>
        <w:t xml:space="preserve">C45.1  </w:t>
      </w:r>
      <w:r w:rsidRPr="00CC12FD">
        <w:rPr>
          <w:rFonts w:ascii="Arial" w:hAnsi="Arial" w:cs="Arial"/>
          <w:i/>
          <w:iCs/>
          <w:sz w:val="24"/>
          <w:szCs w:val="24"/>
        </w:rPr>
        <w:t>M.</w:t>
      </w:r>
      <w:proofErr w:type="gramEnd"/>
      <w:r w:rsidRPr="00CC12FD">
        <w:rPr>
          <w:rFonts w:ascii="Arial" w:hAnsi="Arial" w:cs="Arial"/>
          <w:i/>
          <w:iCs/>
          <w:sz w:val="24"/>
          <w:szCs w:val="24"/>
        </w:rPr>
        <w:t xml:space="preserve"> del Peritoneo</w:t>
      </w:r>
    </w:p>
    <w:p w:rsidR="007567C5" w:rsidRPr="00CC12FD" w:rsidRDefault="007567C5" w:rsidP="007567C5">
      <w:pPr>
        <w:pStyle w:val="Paragrafoelenco"/>
        <w:numPr>
          <w:ilvl w:val="1"/>
          <w:numId w:val="7"/>
        </w:numPr>
        <w:spacing w:before="120" w:after="120" w:line="360" w:lineRule="auto"/>
        <w:jc w:val="both"/>
        <w:rPr>
          <w:rFonts w:ascii="Arial" w:hAnsi="Arial" w:cs="Arial"/>
          <w:sz w:val="24"/>
          <w:szCs w:val="24"/>
        </w:rPr>
      </w:pPr>
      <w:proofErr w:type="gramStart"/>
      <w:r w:rsidRPr="00CC12FD">
        <w:rPr>
          <w:rFonts w:ascii="Arial" w:hAnsi="Arial" w:cs="Arial"/>
          <w:sz w:val="24"/>
          <w:szCs w:val="24"/>
        </w:rPr>
        <w:t xml:space="preserve">C45.2  </w:t>
      </w:r>
      <w:r w:rsidRPr="00CC12FD">
        <w:rPr>
          <w:rFonts w:ascii="Arial" w:hAnsi="Arial" w:cs="Arial"/>
          <w:i/>
          <w:iCs/>
          <w:sz w:val="24"/>
          <w:szCs w:val="24"/>
        </w:rPr>
        <w:t>M.</w:t>
      </w:r>
      <w:proofErr w:type="gramEnd"/>
      <w:r w:rsidRPr="00CC12FD">
        <w:rPr>
          <w:rFonts w:ascii="Arial" w:hAnsi="Arial" w:cs="Arial"/>
          <w:i/>
          <w:iCs/>
          <w:sz w:val="24"/>
          <w:szCs w:val="24"/>
        </w:rPr>
        <w:t xml:space="preserve"> del Pericardio</w:t>
      </w:r>
    </w:p>
    <w:p w:rsidR="007567C5" w:rsidRPr="00CC12FD" w:rsidRDefault="007567C5" w:rsidP="007567C5">
      <w:pPr>
        <w:pStyle w:val="Paragrafoelenco"/>
        <w:numPr>
          <w:ilvl w:val="1"/>
          <w:numId w:val="7"/>
        </w:numPr>
        <w:spacing w:before="120" w:after="120" w:line="360" w:lineRule="auto"/>
        <w:jc w:val="both"/>
        <w:rPr>
          <w:rFonts w:ascii="Arial" w:hAnsi="Arial" w:cs="Arial"/>
          <w:sz w:val="24"/>
          <w:szCs w:val="24"/>
        </w:rPr>
      </w:pPr>
      <w:proofErr w:type="gramStart"/>
      <w:r w:rsidRPr="00CC12FD">
        <w:rPr>
          <w:rFonts w:ascii="Arial" w:hAnsi="Arial" w:cs="Arial"/>
          <w:sz w:val="24"/>
          <w:szCs w:val="24"/>
        </w:rPr>
        <w:t xml:space="preserve">C45.7  </w:t>
      </w:r>
      <w:r w:rsidRPr="00CC12FD">
        <w:rPr>
          <w:rFonts w:ascii="Arial" w:hAnsi="Arial" w:cs="Arial"/>
          <w:i/>
          <w:iCs/>
          <w:sz w:val="24"/>
          <w:szCs w:val="24"/>
        </w:rPr>
        <w:t>M.</w:t>
      </w:r>
      <w:proofErr w:type="gramEnd"/>
      <w:r w:rsidRPr="00CC12FD">
        <w:rPr>
          <w:rFonts w:ascii="Arial" w:hAnsi="Arial" w:cs="Arial"/>
          <w:i/>
          <w:iCs/>
          <w:sz w:val="24"/>
          <w:szCs w:val="24"/>
        </w:rPr>
        <w:t xml:space="preserve"> di Altre Sedi</w:t>
      </w:r>
    </w:p>
    <w:p w:rsidR="007567C5" w:rsidRPr="00CC12FD" w:rsidRDefault="007567C5" w:rsidP="007567C5">
      <w:pPr>
        <w:pStyle w:val="Paragrafoelenco"/>
        <w:numPr>
          <w:ilvl w:val="1"/>
          <w:numId w:val="7"/>
        </w:numPr>
        <w:spacing w:before="120" w:after="120" w:line="360" w:lineRule="auto"/>
        <w:jc w:val="both"/>
        <w:rPr>
          <w:rFonts w:ascii="Arial" w:hAnsi="Arial" w:cs="Arial"/>
          <w:sz w:val="24"/>
          <w:szCs w:val="24"/>
        </w:rPr>
      </w:pPr>
      <w:proofErr w:type="gramStart"/>
      <w:r w:rsidRPr="00CC12FD">
        <w:rPr>
          <w:rFonts w:ascii="Arial" w:hAnsi="Arial" w:cs="Arial"/>
          <w:sz w:val="24"/>
          <w:szCs w:val="24"/>
        </w:rPr>
        <w:t xml:space="preserve">C45.9  </w:t>
      </w:r>
      <w:r w:rsidRPr="00CC12FD">
        <w:rPr>
          <w:rFonts w:ascii="Arial" w:hAnsi="Arial" w:cs="Arial"/>
          <w:i/>
          <w:iCs/>
          <w:sz w:val="24"/>
          <w:szCs w:val="24"/>
        </w:rPr>
        <w:t>M.</w:t>
      </w:r>
      <w:proofErr w:type="gramEnd"/>
      <w:r w:rsidRPr="00CC12FD">
        <w:rPr>
          <w:rFonts w:ascii="Arial" w:hAnsi="Arial" w:cs="Arial"/>
          <w:i/>
          <w:iCs/>
          <w:sz w:val="24"/>
          <w:szCs w:val="24"/>
        </w:rPr>
        <w:t xml:space="preserve"> Non Specificato</w:t>
      </w:r>
    </w:p>
    <w:p w:rsidR="007567C5" w:rsidRPr="00CC12FD" w:rsidRDefault="00AE2E5D" w:rsidP="007567C5">
      <w:pPr>
        <w:pStyle w:val="Paragrafoelenco"/>
        <w:numPr>
          <w:ilvl w:val="0"/>
          <w:numId w:val="7"/>
        </w:numPr>
        <w:spacing w:before="120" w:after="120" w:line="360" w:lineRule="auto"/>
        <w:jc w:val="both"/>
        <w:rPr>
          <w:rFonts w:ascii="Arial" w:hAnsi="Arial" w:cs="Arial"/>
          <w:sz w:val="24"/>
          <w:szCs w:val="24"/>
        </w:rPr>
      </w:pPr>
      <w:r w:rsidRPr="00CC12FD">
        <w:rPr>
          <w:rFonts w:ascii="Arial" w:hAnsi="Arial" w:cs="Arial"/>
          <w:b/>
          <w:bCs/>
          <w:sz w:val="24"/>
          <w:szCs w:val="24"/>
        </w:rPr>
        <w:t>Tumori maligni di sedi indipendenti primitive multiple</w:t>
      </w:r>
      <w:r w:rsidR="007567C5" w:rsidRPr="00CC12FD">
        <w:rPr>
          <w:rFonts w:ascii="Arial" w:hAnsi="Arial" w:cs="Arial"/>
          <w:bCs/>
          <w:sz w:val="24"/>
          <w:szCs w:val="24"/>
        </w:rPr>
        <w:t>: Nuovo Codice in ICD</w:t>
      </w:r>
      <w:r w:rsidR="007F4172">
        <w:rPr>
          <w:rFonts w:ascii="Arial" w:hAnsi="Arial" w:cs="Arial"/>
          <w:bCs/>
          <w:sz w:val="24"/>
          <w:szCs w:val="24"/>
        </w:rPr>
        <w:t>-</w:t>
      </w:r>
      <w:r w:rsidR="007567C5" w:rsidRPr="00CC12FD">
        <w:rPr>
          <w:rFonts w:ascii="Arial" w:hAnsi="Arial" w:cs="Arial"/>
          <w:bCs/>
          <w:sz w:val="24"/>
          <w:szCs w:val="24"/>
        </w:rPr>
        <w:t>10: C97</w:t>
      </w:r>
    </w:p>
    <w:p w:rsidR="007567C5" w:rsidRPr="00CC12FD" w:rsidRDefault="007567C5" w:rsidP="007567C5">
      <w:pPr>
        <w:pStyle w:val="Paragrafoelenco"/>
        <w:numPr>
          <w:ilvl w:val="0"/>
          <w:numId w:val="7"/>
        </w:numPr>
        <w:spacing w:before="120" w:after="120" w:line="360" w:lineRule="auto"/>
        <w:jc w:val="both"/>
        <w:rPr>
          <w:rFonts w:ascii="Arial" w:hAnsi="Arial" w:cs="Arial"/>
          <w:sz w:val="24"/>
          <w:szCs w:val="24"/>
        </w:rPr>
      </w:pPr>
      <w:r w:rsidRPr="00CC12FD">
        <w:rPr>
          <w:rFonts w:ascii="Arial" w:hAnsi="Arial" w:cs="Arial"/>
          <w:b/>
          <w:bCs/>
          <w:sz w:val="24"/>
          <w:szCs w:val="24"/>
        </w:rPr>
        <w:t>Diabete Mellito</w:t>
      </w:r>
      <w:r w:rsidRPr="00CC12FD">
        <w:rPr>
          <w:rFonts w:ascii="Arial" w:hAnsi="Arial" w:cs="Arial"/>
          <w:bCs/>
          <w:sz w:val="24"/>
          <w:szCs w:val="24"/>
        </w:rPr>
        <w:t xml:space="preserve">: </w:t>
      </w:r>
      <w:r w:rsidRPr="00CC12FD">
        <w:rPr>
          <w:rFonts w:ascii="Arial" w:hAnsi="Arial" w:cs="Arial"/>
          <w:sz w:val="24"/>
          <w:szCs w:val="24"/>
        </w:rPr>
        <w:t xml:space="preserve">in </w:t>
      </w:r>
      <w:r w:rsidR="007F4172">
        <w:rPr>
          <w:rFonts w:ascii="Arial" w:hAnsi="Arial" w:cs="Arial"/>
          <w:bCs/>
          <w:sz w:val="24"/>
          <w:szCs w:val="24"/>
        </w:rPr>
        <w:t>ICD-</w:t>
      </w:r>
      <w:r w:rsidRPr="00CC12FD">
        <w:rPr>
          <w:rFonts w:ascii="Arial" w:hAnsi="Arial" w:cs="Arial"/>
          <w:bCs/>
          <w:sz w:val="24"/>
          <w:szCs w:val="24"/>
        </w:rPr>
        <w:t xml:space="preserve">9: 250.0 – 250.9  Una sola categoria, con 10 sotto-categorie; </w:t>
      </w:r>
      <w:r w:rsidRPr="00CC12FD">
        <w:rPr>
          <w:rFonts w:ascii="Arial" w:hAnsi="Arial" w:cs="Arial"/>
          <w:sz w:val="24"/>
          <w:szCs w:val="24"/>
        </w:rPr>
        <w:t xml:space="preserve">In </w:t>
      </w:r>
      <w:r w:rsidRPr="00CC12FD">
        <w:rPr>
          <w:rFonts w:ascii="Arial" w:hAnsi="Arial" w:cs="Arial"/>
          <w:bCs/>
          <w:sz w:val="24"/>
          <w:szCs w:val="24"/>
        </w:rPr>
        <w:t>ICD</w:t>
      </w:r>
      <w:r w:rsidR="007F4172">
        <w:rPr>
          <w:rFonts w:ascii="Arial" w:hAnsi="Arial" w:cs="Arial"/>
          <w:bCs/>
          <w:sz w:val="24"/>
          <w:szCs w:val="24"/>
        </w:rPr>
        <w:t>-</w:t>
      </w:r>
      <w:r w:rsidRPr="00CC12FD">
        <w:rPr>
          <w:rFonts w:ascii="Arial" w:hAnsi="Arial" w:cs="Arial"/>
          <w:bCs/>
          <w:sz w:val="24"/>
          <w:szCs w:val="24"/>
        </w:rPr>
        <w:t>10: E10 – E14</w:t>
      </w:r>
      <w:r w:rsidRPr="00CC12FD">
        <w:rPr>
          <w:rFonts w:ascii="Arial" w:hAnsi="Arial" w:cs="Arial"/>
          <w:sz w:val="24"/>
          <w:szCs w:val="24"/>
        </w:rPr>
        <w:t xml:space="preserve"> (insulino-dipendente, non insulinodipendente, correlato a malnutrizione, altro tipo specificato, altro tipo non specificato); le </w:t>
      </w:r>
      <w:r w:rsidRPr="00CC12FD">
        <w:rPr>
          <w:rFonts w:ascii="Arial" w:hAnsi="Arial" w:cs="Arial"/>
          <w:bCs/>
          <w:sz w:val="24"/>
          <w:szCs w:val="24"/>
        </w:rPr>
        <w:t xml:space="preserve">5 categorie sono suddivise </w:t>
      </w:r>
      <w:r w:rsidRPr="00CC12FD">
        <w:rPr>
          <w:rFonts w:ascii="Arial" w:hAnsi="Arial" w:cs="Arial"/>
          <w:sz w:val="24"/>
          <w:szCs w:val="24"/>
        </w:rPr>
        <w:t xml:space="preserve">a loro volta in </w:t>
      </w:r>
      <w:r w:rsidRPr="00CC12FD">
        <w:rPr>
          <w:rFonts w:ascii="Arial" w:hAnsi="Arial" w:cs="Arial"/>
          <w:bCs/>
          <w:sz w:val="24"/>
          <w:szCs w:val="24"/>
        </w:rPr>
        <w:t>10 sotto-categorie</w:t>
      </w:r>
      <w:r w:rsidRPr="00CC12FD">
        <w:rPr>
          <w:rFonts w:ascii="Arial" w:hAnsi="Arial" w:cs="Arial"/>
          <w:sz w:val="24"/>
          <w:szCs w:val="24"/>
        </w:rPr>
        <w:t xml:space="preserve">, relative ad eventuali complicanze (Con coma, con </w:t>
      </w:r>
      <w:proofErr w:type="spellStart"/>
      <w:r w:rsidRPr="00CC12FD">
        <w:rPr>
          <w:rFonts w:ascii="Arial" w:hAnsi="Arial" w:cs="Arial"/>
          <w:sz w:val="24"/>
          <w:szCs w:val="24"/>
        </w:rPr>
        <w:t>chetoacidosi</w:t>
      </w:r>
      <w:proofErr w:type="spellEnd"/>
      <w:r w:rsidRPr="00CC12FD">
        <w:rPr>
          <w:rFonts w:ascii="Arial" w:hAnsi="Arial" w:cs="Arial"/>
          <w:sz w:val="24"/>
          <w:szCs w:val="24"/>
        </w:rPr>
        <w:t>, con complicanze renali, con complicanze oculari,  con complicanze neurologiche, con complicanze del circolo periferico, con altre complicanze specificate, con complicanze multiple, con complicanze  non specificate, senza complicanze).</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 xml:space="preserve">Il passaggio alla nuova classificazione ha, di necessità, introdotto una </w:t>
      </w:r>
      <w:r w:rsidRPr="00CC12FD">
        <w:rPr>
          <w:rFonts w:ascii="Arial" w:hAnsi="Arial" w:cs="Arial"/>
          <w:bCs/>
          <w:sz w:val="24"/>
          <w:szCs w:val="24"/>
        </w:rPr>
        <w:t>discontinuità</w:t>
      </w:r>
      <w:r w:rsidRPr="00CC12FD">
        <w:rPr>
          <w:rFonts w:ascii="Arial" w:hAnsi="Arial" w:cs="Arial"/>
          <w:sz w:val="24"/>
          <w:szCs w:val="24"/>
        </w:rPr>
        <w:t xml:space="preserve"> nelle serie storiche di mortalità per causa, codificate per gli anni 1980-2002 in accordo con la ICD</w:t>
      </w:r>
      <w:r w:rsidR="007F4172">
        <w:rPr>
          <w:rFonts w:ascii="Arial" w:hAnsi="Arial" w:cs="Arial"/>
          <w:sz w:val="24"/>
          <w:szCs w:val="24"/>
        </w:rPr>
        <w:t>-</w:t>
      </w:r>
      <w:r w:rsidRPr="00CC12FD">
        <w:rPr>
          <w:rFonts w:ascii="Arial" w:hAnsi="Arial" w:cs="Arial"/>
          <w:sz w:val="24"/>
          <w:szCs w:val="24"/>
        </w:rPr>
        <w:t xml:space="preserve">9. Per valutare l’entità di tali cambiamenti, riconducibili esclusivamente al mutato metodo classificatorio, è necessario condurre studi di </w:t>
      </w:r>
      <w:r w:rsidRPr="00CC12FD">
        <w:rPr>
          <w:rFonts w:ascii="Arial" w:hAnsi="Arial" w:cs="Arial"/>
          <w:bCs/>
          <w:i/>
          <w:iCs/>
          <w:sz w:val="24"/>
          <w:szCs w:val="24"/>
        </w:rPr>
        <w:t xml:space="preserve">bridge </w:t>
      </w:r>
      <w:proofErr w:type="spellStart"/>
      <w:r w:rsidRPr="00CC12FD">
        <w:rPr>
          <w:rFonts w:ascii="Arial" w:hAnsi="Arial" w:cs="Arial"/>
          <w:bCs/>
          <w:i/>
          <w:iCs/>
          <w:sz w:val="24"/>
          <w:szCs w:val="24"/>
        </w:rPr>
        <w:t>coding</w:t>
      </w:r>
      <w:proofErr w:type="spellEnd"/>
      <w:r w:rsidRPr="00CC12FD">
        <w:rPr>
          <w:rFonts w:ascii="Arial" w:hAnsi="Arial" w:cs="Arial"/>
          <w:bCs/>
          <w:i/>
          <w:iCs/>
          <w:sz w:val="24"/>
          <w:szCs w:val="24"/>
        </w:rPr>
        <w:t xml:space="preserve"> </w:t>
      </w:r>
      <w:r w:rsidRPr="00CC12FD">
        <w:rPr>
          <w:rFonts w:ascii="Arial" w:hAnsi="Arial" w:cs="Arial"/>
          <w:bCs/>
          <w:sz w:val="24"/>
          <w:szCs w:val="24"/>
        </w:rPr>
        <w:t xml:space="preserve">o </w:t>
      </w:r>
      <w:proofErr w:type="spellStart"/>
      <w:r w:rsidRPr="00CC12FD">
        <w:rPr>
          <w:rFonts w:ascii="Arial" w:hAnsi="Arial" w:cs="Arial"/>
          <w:bCs/>
          <w:i/>
          <w:iCs/>
          <w:sz w:val="24"/>
          <w:szCs w:val="24"/>
        </w:rPr>
        <w:t>comparability</w:t>
      </w:r>
      <w:proofErr w:type="spellEnd"/>
      <w:r w:rsidRPr="00CC12FD">
        <w:rPr>
          <w:rFonts w:ascii="Arial" w:hAnsi="Arial" w:cs="Arial"/>
          <w:bCs/>
          <w:i/>
          <w:iCs/>
          <w:sz w:val="24"/>
          <w:szCs w:val="24"/>
        </w:rPr>
        <w:t xml:space="preserve"> </w:t>
      </w:r>
      <w:proofErr w:type="spellStart"/>
      <w:r w:rsidRPr="00CC12FD">
        <w:rPr>
          <w:rFonts w:ascii="Arial" w:hAnsi="Arial" w:cs="Arial"/>
          <w:bCs/>
          <w:i/>
          <w:iCs/>
          <w:sz w:val="24"/>
          <w:szCs w:val="24"/>
        </w:rPr>
        <w:t>studies</w:t>
      </w:r>
      <w:proofErr w:type="spellEnd"/>
      <w:r w:rsidRPr="00CC12FD">
        <w:rPr>
          <w:rFonts w:ascii="Arial" w:hAnsi="Arial" w:cs="Arial"/>
          <w:sz w:val="24"/>
          <w:szCs w:val="24"/>
        </w:rPr>
        <w:t>. Questi studi, raccomandati dall’</w:t>
      </w:r>
      <w:proofErr w:type="spellStart"/>
      <w:r w:rsidRPr="00CC12FD">
        <w:rPr>
          <w:rFonts w:ascii="Arial" w:hAnsi="Arial" w:cs="Arial"/>
          <w:bCs/>
          <w:sz w:val="24"/>
          <w:szCs w:val="24"/>
        </w:rPr>
        <w:t>Eurostat</w:t>
      </w:r>
      <w:proofErr w:type="spellEnd"/>
      <w:r w:rsidRPr="00CC12FD">
        <w:rPr>
          <w:rFonts w:ascii="Arial" w:hAnsi="Arial" w:cs="Arial"/>
          <w:b/>
          <w:bCs/>
          <w:sz w:val="24"/>
          <w:szCs w:val="24"/>
        </w:rPr>
        <w:t xml:space="preserve"> </w:t>
      </w:r>
      <w:r w:rsidRPr="00CC12FD">
        <w:rPr>
          <w:rFonts w:ascii="Arial" w:hAnsi="Arial" w:cs="Arial"/>
          <w:sz w:val="24"/>
          <w:szCs w:val="24"/>
        </w:rPr>
        <w:t>e ampiamente utilizzati dai Paesi che già adottano l’ICD</w:t>
      </w:r>
      <w:r w:rsidR="007F4172">
        <w:rPr>
          <w:rFonts w:ascii="Arial" w:hAnsi="Arial" w:cs="Arial"/>
          <w:sz w:val="24"/>
          <w:szCs w:val="24"/>
        </w:rPr>
        <w:t>-</w:t>
      </w:r>
      <w:r w:rsidRPr="00CC12FD">
        <w:rPr>
          <w:rFonts w:ascii="Arial" w:hAnsi="Arial" w:cs="Arial"/>
          <w:sz w:val="24"/>
          <w:szCs w:val="24"/>
        </w:rPr>
        <w:t xml:space="preserve">10, mirano ad avere un insieme di decessi la cui causa iniziale di morte sia codificata secondo le due diverse revisioni della classificazione. La disponibilità di una </w:t>
      </w:r>
      <w:r w:rsidRPr="00CC12FD">
        <w:rPr>
          <w:rFonts w:ascii="Arial" w:hAnsi="Arial" w:cs="Arial"/>
          <w:b/>
          <w:bCs/>
          <w:sz w:val="24"/>
          <w:szCs w:val="24"/>
        </w:rPr>
        <w:t>doppia classificazione</w:t>
      </w:r>
      <w:r w:rsidRPr="00CC12FD">
        <w:rPr>
          <w:rFonts w:ascii="Arial" w:hAnsi="Arial" w:cs="Arial"/>
          <w:sz w:val="24"/>
          <w:szCs w:val="24"/>
        </w:rPr>
        <w:t xml:space="preserve"> permette di calcolare i “</w:t>
      </w:r>
      <w:r w:rsidRPr="00CC12FD">
        <w:rPr>
          <w:rFonts w:ascii="Arial" w:hAnsi="Arial" w:cs="Arial"/>
          <w:b/>
          <w:bCs/>
          <w:sz w:val="24"/>
          <w:szCs w:val="24"/>
        </w:rPr>
        <w:t>coefficienti di raccordo”</w:t>
      </w:r>
      <w:r w:rsidRPr="00CC12FD">
        <w:rPr>
          <w:rFonts w:ascii="Arial" w:hAnsi="Arial" w:cs="Arial"/>
          <w:sz w:val="24"/>
          <w:szCs w:val="24"/>
        </w:rPr>
        <w:t xml:space="preserve"> tra le due revisioni.</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I coefficienti di raccordo (C</w:t>
      </w:r>
      <w:r w:rsidRPr="00CC12FD">
        <w:rPr>
          <w:rFonts w:ascii="Arial" w:hAnsi="Arial" w:cs="Arial"/>
          <w:sz w:val="24"/>
          <w:szCs w:val="24"/>
          <w:vertAlign w:val="subscript"/>
        </w:rPr>
        <w:t>r</w:t>
      </w:r>
      <w:r w:rsidRPr="00CC12FD">
        <w:rPr>
          <w:rFonts w:ascii="Arial" w:hAnsi="Arial" w:cs="Arial"/>
          <w:sz w:val="24"/>
          <w:szCs w:val="24"/>
        </w:rPr>
        <w:t xml:space="preserve">) si </w:t>
      </w:r>
      <w:proofErr w:type="gramStart"/>
      <w:r w:rsidRPr="00CC12FD">
        <w:rPr>
          <w:rFonts w:ascii="Arial" w:hAnsi="Arial" w:cs="Arial"/>
          <w:sz w:val="24"/>
          <w:szCs w:val="24"/>
        </w:rPr>
        <w:t>calcolano  nel</w:t>
      </w:r>
      <w:proofErr w:type="gramEnd"/>
      <w:r w:rsidRPr="00CC12FD">
        <w:rPr>
          <w:rFonts w:ascii="Arial" w:hAnsi="Arial" w:cs="Arial"/>
          <w:sz w:val="24"/>
          <w:szCs w:val="24"/>
        </w:rPr>
        <w:t xml:space="preserve"> seguente modo:</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 </w:t>
      </w:r>
      <w:r w:rsidRPr="00CC12FD">
        <w:rPr>
          <w:rFonts w:ascii="Arial" w:hAnsi="Arial" w:cs="Arial"/>
          <w:b/>
          <w:bCs/>
          <w:sz w:val="24"/>
          <w:szCs w:val="24"/>
        </w:rPr>
        <w:t>C</w:t>
      </w:r>
      <w:r w:rsidRPr="00CC12FD">
        <w:rPr>
          <w:rFonts w:ascii="Arial" w:hAnsi="Arial" w:cs="Arial"/>
          <w:b/>
          <w:bCs/>
          <w:sz w:val="24"/>
          <w:szCs w:val="24"/>
          <w:vertAlign w:val="subscript"/>
        </w:rPr>
        <w:t>r</w:t>
      </w:r>
      <w:r w:rsidRPr="00CC12FD">
        <w:rPr>
          <w:rFonts w:ascii="Arial" w:hAnsi="Arial" w:cs="Arial"/>
          <w:b/>
          <w:bCs/>
          <w:sz w:val="24"/>
          <w:szCs w:val="24"/>
        </w:rPr>
        <w:t xml:space="preserve"> = (decessi causa i-esima ICD</w:t>
      </w:r>
      <w:r w:rsidR="007F4172">
        <w:rPr>
          <w:rFonts w:ascii="Arial" w:hAnsi="Arial" w:cs="Arial"/>
          <w:b/>
          <w:bCs/>
          <w:sz w:val="24"/>
          <w:szCs w:val="24"/>
        </w:rPr>
        <w:t>-</w:t>
      </w:r>
      <w:proofErr w:type="gramStart"/>
      <w:r w:rsidR="007F4172">
        <w:rPr>
          <w:rFonts w:ascii="Arial" w:hAnsi="Arial" w:cs="Arial"/>
          <w:b/>
          <w:bCs/>
          <w:sz w:val="24"/>
          <w:szCs w:val="24"/>
        </w:rPr>
        <w:t>10)/</w:t>
      </w:r>
      <w:proofErr w:type="gramEnd"/>
      <w:r w:rsidR="007F4172">
        <w:rPr>
          <w:rFonts w:ascii="Arial" w:hAnsi="Arial" w:cs="Arial"/>
          <w:b/>
          <w:bCs/>
          <w:sz w:val="24"/>
          <w:szCs w:val="24"/>
        </w:rPr>
        <w:t>(decessi causa i-esima ICD-</w:t>
      </w:r>
      <w:r w:rsidRPr="00CC12FD">
        <w:rPr>
          <w:rFonts w:ascii="Arial" w:hAnsi="Arial" w:cs="Arial"/>
          <w:b/>
          <w:bCs/>
          <w:sz w:val="24"/>
          <w:szCs w:val="24"/>
        </w:rPr>
        <w:t xml:space="preserve">9) </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Se C</w:t>
      </w:r>
      <w:r w:rsidRPr="00CC12FD">
        <w:rPr>
          <w:rFonts w:ascii="Arial" w:hAnsi="Arial" w:cs="Arial"/>
          <w:sz w:val="24"/>
          <w:szCs w:val="24"/>
          <w:vertAlign w:val="subscript"/>
        </w:rPr>
        <w:t>r</w:t>
      </w:r>
      <w:r w:rsidRPr="00CC12FD">
        <w:rPr>
          <w:rFonts w:ascii="Arial" w:hAnsi="Arial" w:cs="Arial"/>
          <w:sz w:val="24"/>
          <w:szCs w:val="24"/>
        </w:rPr>
        <w:t xml:space="preserve">=1 il numero di decessi per la causa </w:t>
      </w:r>
      <w:r w:rsidRPr="00CC12FD">
        <w:rPr>
          <w:rFonts w:ascii="Arial" w:hAnsi="Arial" w:cs="Arial"/>
          <w:i/>
          <w:iCs/>
          <w:sz w:val="24"/>
          <w:szCs w:val="24"/>
        </w:rPr>
        <w:t>i</w:t>
      </w:r>
      <w:r w:rsidRPr="00CC12FD">
        <w:rPr>
          <w:rFonts w:ascii="Arial" w:hAnsi="Arial" w:cs="Arial"/>
          <w:sz w:val="24"/>
          <w:szCs w:val="24"/>
        </w:rPr>
        <w:t>-esima ottenuto con le due revisioni coincide.</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Tuttavia, se C</w:t>
      </w:r>
      <w:r w:rsidRPr="00CC12FD">
        <w:rPr>
          <w:rFonts w:ascii="Arial" w:hAnsi="Arial" w:cs="Arial"/>
          <w:sz w:val="24"/>
          <w:szCs w:val="24"/>
          <w:vertAlign w:val="subscript"/>
        </w:rPr>
        <w:t>r</w:t>
      </w:r>
      <w:r w:rsidRPr="00CC12FD">
        <w:rPr>
          <w:rFonts w:ascii="Arial" w:hAnsi="Arial" w:cs="Arial"/>
          <w:sz w:val="24"/>
          <w:szCs w:val="24"/>
        </w:rPr>
        <w:t xml:space="preserve">=1 non necessariamente vi è una corrispondenza a livello di singola scheda di morte. I cambiamenti possono infatti aver prodotto variazioni il cui effetto viene annullato per compensazione. Il coefficiente di raccordo è </w:t>
      </w:r>
      <w:r w:rsidRPr="00CC12FD">
        <w:rPr>
          <w:rFonts w:ascii="Arial" w:hAnsi="Arial" w:cs="Arial"/>
          <w:b/>
          <w:bCs/>
          <w:sz w:val="24"/>
          <w:szCs w:val="24"/>
        </w:rPr>
        <w:t>l’indicatore maggiormente utilizzato per confrontare due sistemi di Codifica</w:t>
      </w:r>
      <w:r w:rsidRPr="00CC12FD">
        <w:rPr>
          <w:rFonts w:ascii="Arial" w:hAnsi="Arial" w:cs="Arial"/>
          <w:sz w:val="24"/>
          <w:szCs w:val="24"/>
        </w:rPr>
        <w:t xml:space="preserve"> e può essere usato per “aggiustare” i decessi o il tasso di mortalità per una causa specifica. L’indicatore ha tuttavia valenza </w:t>
      </w:r>
      <w:r w:rsidRPr="00CC12FD">
        <w:rPr>
          <w:rFonts w:ascii="Arial" w:hAnsi="Arial" w:cs="Arial"/>
          <w:b/>
          <w:bCs/>
          <w:sz w:val="24"/>
          <w:szCs w:val="24"/>
        </w:rPr>
        <w:t>esclusivamente nazionale</w:t>
      </w:r>
      <w:r w:rsidRPr="00CC12FD">
        <w:rPr>
          <w:rFonts w:ascii="Arial" w:hAnsi="Arial" w:cs="Arial"/>
          <w:sz w:val="24"/>
          <w:szCs w:val="24"/>
        </w:rPr>
        <w:t xml:space="preserve"> e deve essere utilizzato come strumento di correzione solo per l’anno (o per anni contigui) in cui esso viene calcolato. Infatti, la validità dell’indicatore si riduce </w:t>
      </w:r>
      <w:r w:rsidRPr="00CC12FD">
        <w:rPr>
          <w:rFonts w:ascii="Arial" w:hAnsi="Arial" w:cs="Arial"/>
          <w:sz w:val="24"/>
          <w:szCs w:val="24"/>
        </w:rPr>
        <w:lastRenderedPageBreak/>
        <w:t>rapidamente nel tempo per effetto dei cambiamenti nella struttura per età della popolazione, per le variazioni che avvengono nell’uso della terminologia medica, per le pratiche di certificazione, per i continui aggiornamenti della classificazione stessa nonché per le modifiche delle pratiche di codifica che si possono verificare nel tempo.</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Per comprendere l’impatto che la nuova revis</w:t>
      </w:r>
      <w:r w:rsidR="007F4172">
        <w:rPr>
          <w:rFonts w:ascii="Arial" w:hAnsi="Arial" w:cs="Arial"/>
          <w:sz w:val="24"/>
          <w:szCs w:val="24"/>
        </w:rPr>
        <w:t>ione della classificazione (ICD-</w:t>
      </w:r>
      <w:r w:rsidRPr="00CC12FD">
        <w:rPr>
          <w:rFonts w:ascii="Arial" w:hAnsi="Arial" w:cs="Arial"/>
          <w:sz w:val="24"/>
          <w:szCs w:val="24"/>
        </w:rPr>
        <w:t>10) ha avuto sui dati italiani, l’</w:t>
      </w:r>
      <w:r w:rsidRPr="00CC12FD">
        <w:rPr>
          <w:rFonts w:ascii="Arial" w:hAnsi="Arial" w:cs="Arial"/>
          <w:b/>
          <w:bCs/>
          <w:sz w:val="24"/>
          <w:szCs w:val="24"/>
        </w:rPr>
        <w:t xml:space="preserve">Istat </w:t>
      </w:r>
      <w:r w:rsidRPr="00CC12FD">
        <w:rPr>
          <w:rFonts w:ascii="Arial" w:hAnsi="Arial" w:cs="Arial"/>
          <w:sz w:val="24"/>
          <w:szCs w:val="24"/>
        </w:rPr>
        <w:t xml:space="preserve">ha costruito un </w:t>
      </w:r>
      <w:r w:rsidRPr="00CC12FD">
        <w:rPr>
          <w:rFonts w:ascii="Arial" w:hAnsi="Arial" w:cs="Arial"/>
          <w:b/>
          <w:bCs/>
          <w:sz w:val="24"/>
          <w:szCs w:val="24"/>
        </w:rPr>
        <w:t>campione di 454.897</w:t>
      </w:r>
      <w:r w:rsidRPr="00CC12FD">
        <w:rPr>
          <w:rFonts w:ascii="Arial" w:hAnsi="Arial" w:cs="Arial"/>
          <w:sz w:val="24"/>
          <w:szCs w:val="24"/>
        </w:rPr>
        <w:t xml:space="preserve"> decessi su un totale di 580.200 </w:t>
      </w:r>
      <w:proofErr w:type="gramStart"/>
      <w:r w:rsidRPr="00CC12FD">
        <w:rPr>
          <w:rFonts w:ascii="Arial" w:hAnsi="Arial" w:cs="Arial"/>
          <w:sz w:val="24"/>
          <w:szCs w:val="24"/>
        </w:rPr>
        <w:t>eventi  avvenuti</w:t>
      </w:r>
      <w:proofErr w:type="gramEnd"/>
      <w:r w:rsidRPr="00CC12FD">
        <w:rPr>
          <w:rFonts w:ascii="Arial" w:hAnsi="Arial" w:cs="Arial"/>
          <w:sz w:val="24"/>
          <w:szCs w:val="24"/>
        </w:rPr>
        <w:t xml:space="preserve"> nel </w:t>
      </w:r>
      <w:r w:rsidRPr="00CC12FD">
        <w:rPr>
          <w:rFonts w:ascii="Arial" w:hAnsi="Arial" w:cs="Arial"/>
          <w:b/>
          <w:bCs/>
          <w:sz w:val="24"/>
          <w:szCs w:val="24"/>
        </w:rPr>
        <w:t>2003</w:t>
      </w:r>
      <w:r w:rsidRPr="00CC12FD">
        <w:rPr>
          <w:rFonts w:ascii="Arial" w:hAnsi="Arial" w:cs="Arial"/>
          <w:sz w:val="24"/>
          <w:szCs w:val="24"/>
        </w:rPr>
        <w:t xml:space="preserve"> su cui sono stati calcolati i coefficienti di raccordo definitivi (Cr), gli intervalli di confidenza e le corrispondenti misuri di errore.</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b/>
          <w:bCs/>
          <w:sz w:val="24"/>
          <w:szCs w:val="24"/>
        </w:rPr>
        <w:t>Sintesi dei risultati principali</w:t>
      </w:r>
    </w:p>
    <w:p w:rsidR="00AE2E5D" w:rsidRPr="00CC12FD" w:rsidRDefault="00AE2E5D" w:rsidP="00AE2E5D">
      <w:pPr>
        <w:spacing w:after="120" w:line="360" w:lineRule="auto"/>
        <w:ind w:left="360"/>
        <w:jc w:val="both"/>
        <w:rPr>
          <w:rFonts w:ascii="Arial" w:hAnsi="Arial" w:cs="Arial"/>
          <w:sz w:val="24"/>
          <w:szCs w:val="24"/>
        </w:rPr>
      </w:pPr>
      <w:r w:rsidRPr="00CC12FD">
        <w:rPr>
          <w:rFonts w:ascii="Arial" w:hAnsi="Arial" w:cs="Arial"/>
          <w:sz w:val="24"/>
          <w:szCs w:val="24"/>
        </w:rPr>
        <w:t xml:space="preserve">L’analisi dei dati è stata effettuata calcolando i </w:t>
      </w:r>
      <w:r w:rsidRPr="00CC12FD">
        <w:rPr>
          <w:rFonts w:ascii="Arial" w:hAnsi="Arial" w:cs="Arial"/>
          <w:i/>
          <w:iCs/>
          <w:sz w:val="24"/>
          <w:szCs w:val="24"/>
        </w:rPr>
        <w:t xml:space="preserve">coefficienti di raccordo </w:t>
      </w:r>
      <w:r w:rsidRPr="00CC12FD">
        <w:rPr>
          <w:rFonts w:ascii="Arial" w:hAnsi="Arial" w:cs="Arial"/>
          <w:sz w:val="24"/>
          <w:szCs w:val="24"/>
        </w:rPr>
        <w:t xml:space="preserve">per i 65 gruppi di cause previsti dalla classificazione abbreviata - </w:t>
      </w:r>
      <w:r w:rsidRPr="00CC12FD">
        <w:rPr>
          <w:rFonts w:ascii="Arial" w:hAnsi="Arial" w:cs="Arial"/>
          <w:b/>
          <w:bCs/>
          <w:sz w:val="24"/>
          <w:szCs w:val="24"/>
        </w:rPr>
        <w:t>“Short-List a 65 gruppi di cause”</w:t>
      </w:r>
      <w:r w:rsidRPr="00CC12FD">
        <w:rPr>
          <w:rFonts w:ascii="Arial" w:hAnsi="Arial" w:cs="Arial"/>
          <w:sz w:val="24"/>
          <w:szCs w:val="24"/>
        </w:rPr>
        <w:t xml:space="preserve"> - proposta da </w:t>
      </w:r>
      <w:proofErr w:type="spellStart"/>
      <w:r w:rsidRPr="00CC12FD">
        <w:rPr>
          <w:rFonts w:ascii="Arial" w:hAnsi="Arial" w:cs="Arial"/>
          <w:sz w:val="24"/>
          <w:szCs w:val="24"/>
        </w:rPr>
        <w:t>Eurostat</w:t>
      </w:r>
      <w:proofErr w:type="spellEnd"/>
      <w:r w:rsidRPr="00CC12FD">
        <w:rPr>
          <w:rFonts w:ascii="Arial" w:hAnsi="Arial" w:cs="Arial"/>
          <w:sz w:val="24"/>
          <w:szCs w:val="24"/>
        </w:rPr>
        <w:t xml:space="preserve"> nel 1998 e utilizzata anche da tutti i Paesi Europei per consentire la comparabilità e armonizzazione, a livello internazionale, del dato di mortalità per causa.</w:t>
      </w:r>
    </w:p>
    <w:p w:rsidR="00AE2E5D" w:rsidRPr="00CC12FD" w:rsidRDefault="00AE2E5D" w:rsidP="00AE2E5D">
      <w:pPr>
        <w:spacing w:after="120" w:line="360" w:lineRule="auto"/>
        <w:ind w:left="360"/>
        <w:jc w:val="both"/>
        <w:rPr>
          <w:rFonts w:ascii="Arial" w:hAnsi="Arial" w:cs="Arial"/>
          <w:b/>
          <w:bCs/>
          <w:sz w:val="24"/>
          <w:szCs w:val="24"/>
        </w:rPr>
      </w:pPr>
      <w:r w:rsidRPr="00CC12FD">
        <w:rPr>
          <w:rFonts w:ascii="Arial" w:hAnsi="Arial" w:cs="Arial"/>
          <w:sz w:val="24"/>
          <w:szCs w:val="24"/>
        </w:rPr>
        <w:t xml:space="preserve">L'impatto del cambiamento della revisione dell’ICD in Italia è stato </w:t>
      </w:r>
      <w:r w:rsidRPr="00CC12FD">
        <w:rPr>
          <w:rFonts w:ascii="Arial" w:hAnsi="Arial" w:cs="Arial"/>
          <w:b/>
          <w:bCs/>
          <w:sz w:val="24"/>
          <w:szCs w:val="24"/>
        </w:rPr>
        <w:t>abbastanza contenuto</w:t>
      </w:r>
      <w:r w:rsidRPr="00CC12FD">
        <w:rPr>
          <w:rFonts w:ascii="Arial" w:hAnsi="Arial" w:cs="Arial"/>
          <w:sz w:val="24"/>
          <w:szCs w:val="24"/>
        </w:rPr>
        <w:t xml:space="preserve"> in corrispondenza dei </w:t>
      </w:r>
      <w:r w:rsidRPr="00CC12FD">
        <w:rPr>
          <w:rFonts w:ascii="Arial" w:hAnsi="Arial" w:cs="Arial"/>
          <w:b/>
          <w:bCs/>
          <w:sz w:val="24"/>
          <w:szCs w:val="24"/>
        </w:rPr>
        <w:t>grandi gruppi di cause</w:t>
      </w:r>
      <w:r w:rsidRPr="00CC12FD">
        <w:rPr>
          <w:rFonts w:ascii="Arial" w:hAnsi="Arial" w:cs="Arial"/>
          <w:sz w:val="24"/>
          <w:szCs w:val="24"/>
        </w:rPr>
        <w:t xml:space="preserve"> quali quelle delle </w:t>
      </w:r>
      <w:r w:rsidRPr="00CC12FD">
        <w:rPr>
          <w:rFonts w:ascii="Arial" w:hAnsi="Arial" w:cs="Arial"/>
          <w:b/>
          <w:bCs/>
          <w:sz w:val="24"/>
          <w:szCs w:val="24"/>
        </w:rPr>
        <w:t xml:space="preserve">malattie del sistema circolatorio, delle cause </w:t>
      </w:r>
      <w:proofErr w:type="spellStart"/>
      <w:proofErr w:type="gramStart"/>
      <w:r w:rsidRPr="00CC12FD">
        <w:rPr>
          <w:rFonts w:ascii="Arial" w:hAnsi="Arial" w:cs="Arial"/>
          <w:b/>
          <w:bCs/>
          <w:sz w:val="24"/>
          <w:szCs w:val="24"/>
        </w:rPr>
        <w:t>violente,delle</w:t>
      </w:r>
      <w:proofErr w:type="spellEnd"/>
      <w:proofErr w:type="gramEnd"/>
      <w:r w:rsidRPr="00CC12FD">
        <w:rPr>
          <w:rFonts w:ascii="Arial" w:hAnsi="Arial" w:cs="Arial"/>
          <w:b/>
          <w:bCs/>
          <w:sz w:val="24"/>
          <w:szCs w:val="24"/>
        </w:rPr>
        <w:t xml:space="preserve"> malattie del sistema respiratorio, delle condizioni morbose che hanno origine nel periodo perinatale, dell’apparato digerente e dei tumori. </w:t>
      </w:r>
      <w:r w:rsidRPr="00CC12FD">
        <w:rPr>
          <w:rFonts w:ascii="Arial" w:hAnsi="Arial" w:cs="Arial"/>
          <w:sz w:val="24"/>
          <w:szCs w:val="24"/>
        </w:rPr>
        <w:t xml:space="preserve">Per questi gruppi di cause si sono registrati valori dei coefficienti di raccordo (Cr) </w:t>
      </w:r>
      <w:proofErr w:type="gramStart"/>
      <w:r w:rsidRPr="00CC12FD">
        <w:rPr>
          <w:rFonts w:ascii="Arial" w:hAnsi="Arial" w:cs="Arial"/>
          <w:sz w:val="24"/>
          <w:szCs w:val="24"/>
        </w:rPr>
        <w:t>compresi  fra</w:t>
      </w:r>
      <w:proofErr w:type="gramEnd"/>
      <w:r w:rsidRPr="00CC12FD">
        <w:rPr>
          <w:rFonts w:ascii="Arial" w:hAnsi="Arial" w:cs="Arial"/>
          <w:sz w:val="24"/>
          <w:szCs w:val="24"/>
        </w:rPr>
        <w:t xml:space="preserve"> </w:t>
      </w:r>
      <w:r w:rsidRPr="00CC12FD">
        <w:rPr>
          <w:rFonts w:ascii="Arial" w:hAnsi="Arial" w:cs="Arial"/>
          <w:b/>
          <w:bCs/>
          <w:sz w:val="24"/>
          <w:szCs w:val="24"/>
        </w:rPr>
        <w:t>0,97 e 1,01</w:t>
      </w:r>
      <w:r w:rsidRPr="00CC12FD">
        <w:rPr>
          <w:rFonts w:ascii="Arial" w:hAnsi="Arial" w:cs="Arial"/>
          <w:sz w:val="24"/>
          <w:szCs w:val="24"/>
        </w:rPr>
        <w:t xml:space="preserve"> a </w:t>
      </w:r>
      <w:r w:rsidRPr="00CC12FD">
        <w:rPr>
          <w:rFonts w:ascii="Arial" w:hAnsi="Arial" w:cs="Arial"/>
          <w:b/>
          <w:bCs/>
          <w:sz w:val="24"/>
          <w:szCs w:val="24"/>
        </w:rPr>
        <w:t>conferma di una continuità nel tempo non interrotta dal passaggio alla nuova  revisione:</w:t>
      </w:r>
      <w:r w:rsidRPr="00CC12FD">
        <w:rPr>
          <w:rFonts w:ascii="Arial" w:hAnsi="Arial" w:cs="Arial"/>
          <w:sz w:val="24"/>
          <w:szCs w:val="24"/>
        </w:rPr>
        <w:t xml:space="preserve"> le differenze nel numero di decessi assegnati con i due diversi metodi di classificazione sono compresi tra lo </w:t>
      </w:r>
      <w:r w:rsidRPr="00CC12FD">
        <w:rPr>
          <w:rFonts w:ascii="Arial" w:hAnsi="Arial" w:cs="Arial"/>
          <w:b/>
          <w:bCs/>
          <w:sz w:val="24"/>
          <w:szCs w:val="24"/>
        </w:rPr>
        <w:t>0 e il 3 per cento. Sono da rilevare:</w:t>
      </w:r>
    </w:p>
    <w:p w:rsidR="00AE2E5D" w:rsidRPr="00CC12FD" w:rsidRDefault="00AE2E5D" w:rsidP="00AE2E5D">
      <w:pPr>
        <w:pStyle w:val="Paragrafoelenco"/>
        <w:numPr>
          <w:ilvl w:val="0"/>
          <w:numId w:val="11"/>
        </w:numPr>
        <w:spacing w:after="120" w:line="360" w:lineRule="auto"/>
        <w:jc w:val="both"/>
        <w:rPr>
          <w:rFonts w:ascii="Arial" w:hAnsi="Arial" w:cs="Arial"/>
          <w:sz w:val="24"/>
          <w:szCs w:val="24"/>
        </w:rPr>
      </w:pPr>
      <w:r w:rsidRPr="00CC12FD">
        <w:rPr>
          <w:rFonts w:ascii="Arial" w:hAnsi="Arial" w:cs="Arial"/>
          <w:b/>
          <w:bCs/>
          <w:sz w:val="24"/>
          <w:szCs w:val="24"/>
        </w:rPr>
        <w:t>Aumento dei Sintomi e stati morbosi mal definiti</w:t>
      </w:r>
      <w:r w:rsidRPr="00CC12FD">
        <w:rPr>
          <w:rFonts w:ascii="Arial" w:hAnsi="Arial" w:cs="Arial"/>
          <w:sz w:val="24"/>
          <w:szCs w:val="24"/>
        </w:rPr>
        <w:t xml:space="preserve"> (es. tale è classificato l’arresto cardiaco)</w:t>
      </w:r>
    </w:p>
    <w:p w:rsidR="00AE2E5D" w:rsidRPr="00CC12FD" w:rsidRDefault="00AE2E5D" w:rsidP="00AE2E5D">
      <w:pPr>
        <w:pStyle w:val="Paragrafoelenco"/>
        <w:numPr>
          <w:ilvl w:val="0"/>
          <w:numId w:val="11"/>
        </w:numPr>
        <w:spacing w:after="120" w:line="360" w:lineRule="auto"/>
        <w:jc w:val="both"/>
        <w:rPr>
          <w:rFonts w:ascii="Arial" w:hAnsi="Arial" w:cs="Arial"/>
          <w:sz w:val="24"/>
          <w:szCs w:val="24"/>
        </w:rPr>
      </w:pPr>
      <w:proofErr w:type="gramStart"/>
      <w:r w:rsidRPr="00CC12FD">
        <w:rPr>
          <w:rFonts w:ascii="Arial" w:hAnsi="Arial" w:cs="Arial"/>
          <w:b/>
          <w:bCs/>
          <w:sz w:val="24"/>
          <w:szCs w:val="24"/>
        </w:rPr>
        <w:t>Aumento  dell’AIDS</w:t>
      </w:r>
      <w:proofErr w:type="gramEnd"/>
      <w:r w:rsidRPr="00CC12FD">
        <w:rPr>
          <w:rFonts w:ascii="Arial" w:hAnsi="Arial" w:cs="Arial"/>
          <w:b/>
          <w:bCs/>
          <w:sz w:val="24"/>
          <w:szCs w:val="24"/>
        </w:rPr>
        <w:t xml:space="preserve"> : </w:t>
      </w:r>
      <w:r w:rsidRPr="00CC12FD">
        <w:rPr>
          <w:rFonts w:ascii="Arial" w:hAnsi="Arial" w:cs="Arial"/>
          <w:sz w:val="24"/>
          <w:szCs w:val="24"/>
        </w:rPr>
        <w:t>per effetto della classificazione più specifica</w:t>
      </w:r>
    </w:p>
    <w:p w:rsidR="00AE2E5D" w:rsidRPr="00CC12FD" w:rsidRDefault="00AE2E5D" w:rsidP="00AE2E5D">
      <w:pPr>
        <w:pStyle w:val="Paragrafoelenco"/>
        <w:numPr>
          <w:ilvl w:val="0"/>
          <w:numId w:val="11"/>
        </w:numPr>
        <w:spacing w:after="120" w:line="360" w:lineRule="auto"/>
        <w:jc w:val="both"/>
        <w:rPr>
          <w:rFonts w:ascii="Arial" w:hAnsi="Arial" w:cs="Arial"/>
          <w:sz w:val="24"/>
          <w:szCs w:val="24"/>
        </w:rPr>
      </w:pPr>
      <w:r w:rsidRPr="00CC12FD">
        <w:rPr>
          <w:rFonts w:ascii="Arial" w:hAnsi="Arial" w:cs="Arial"/>
          <w:b/>
          <w:bCs/>
          <w:sz w:val="24"/>
          <w:szCs w:val="24"/>
        </w:rPr>
        <w:t xml:space="preserve">Diminuzione delle </w:t>
      </w:r>
      <w:proofErr w:type="gramStart"/>
      <w:r w:rsidRPr="00CC12FD">
        <w:rPr>
          <w:rFonts w:ascii="Arial" w:hAnsi="Arial" w:cs="Arial"/>
          <w:b/>
          <w:bCs/>
          <w:sz w:val="24"/>
          <w:szCs w:val="24"/>
        </w:rPr>
        <w:t>polmoniti</w:t>
      </w:r>
      <w:r w:rsidRPr="00CC12FD">
        <w:rPr>
          <w:rFonts w:ascii="Arial" w:hAnsi="Arial" w:cs="Arial"/>
          <w:sz w:val="24"/>
          <w:szCs w:val="24"/>
        </w:rPr>
        <w:t xml:space="preserve"> :</w:t>
      </w:r>
      <w:proofErr w:type="gramEnd"/>
      <w:r w:rsidRPr="00CC12FD">
        <w:rPr>
          <w:rFonts w:ascii="Arial" w:hAnsi="Arial" w:cs="Arial"/>
          <w:sz w:val="24"/>
          <w:szCs w:val="24"/>
        </w:rPr>
        <w:t xml:space="preserve"> per effetto di una maggiore specificità nelle regole di assegnazione della causa iniziale (in particolare della Regola 3 sulle Dirette Conseguenze)</w:t>
      </w:r>
    </w:p>
    <w:p w:rsidR="00AE2E5D" w:rsidRPr="00CC12FD" w:rsidRDefault="008733FC" w:rsidP="00AE2E5D">
      <w:pPr>
        <w:spacing w:after="120" w:line="360" w:lineRule="auto"/>
        <w:jc w:val="both"/>
        <w:rPr>
          <w:rFonts w:ascii="Arial" w:hAnsi="Arial" w:cs="Arial"/>
          <w:i/>
          <w:sz w:val="24"/>
          <w:szCs w:val="24"/>
        </w:rPr>
      </w:pPr>
      <w:r w:rsidRPr="00CC12FD">
        <w:rPr>
          <w:rFonts w:ascii="Arial" w:hAnsi="Arial" w:cs="Arial"/>
          <w:sz w:val="24"/>
          <w:szCs w:val="24"/>
        </w:rPr>
        <w:t xml:space="preserve">Di seguito riportiamo i risultati del </w:t>
      </w:r>
      <w:r w:rsidRPr="00CC12FD">
        <w:rPr>
          <w:rFonts w:ascii="Arial" w:hAnsi="Arial" w:cs="Arial"/>
          <w:i/>
          <w:sz w:val="24"/>
          <w:szCs w:val="24"/>
        </w:rPr>
        <w:t xml:space="preserve">bridge </w:t>
      </w:r>
      <w:proofErr w:type="spellStart"/>
      <w:r w:rsidRPr="00CC12FD">
        <w:rPr>
          <w:rFonts w:ascii="Arial" w:hAnsi="Arial" w:cs="Arial"/>
          <w:i/>
          <w:sz w:val="24"/>
          <w:szCs w:val="24"/>
        </w:rPr>
        <w:t>coding</w:t>
      </w:r>
      <w:proofErr w:type="spellEnd"/>
    </w:p>
    <w:p w:rsidR="008733FC" w:rsidRDefault="008733FC" w:rsidP="00AE2E5D">
      <w:pPr>
        <w:spacing w:after="120" w:line="360" w:lineRule="auto"/>
        <w:jc w:val="both"/>
        <w:rPr>
          <w:rFonts w:ascii="Arial" w:hAnsi="Arial" w:cs="Arial"/>
          <w:sz w:val="22"/>
          <w:szCs w:val="22"/>
        </w:rPr>
      </w:pPr>
      <w:r w:rsidRPr="008733FC">
        <w:rPr>
          <w:rFonts w:ascii="Arial" w:hAnsi="Arial" w:cs="Arial"/>
          <w:noProof/>
          <w:sz w:val="22"/>
          <w:szCs w:val="22"/>
          <w:lang w:eastAsia="it-IT"/>
        </w:rPr>
        <w:lastRenderedPageBreak/>
        <w:drawing>
          <wp:inline distT="0" distB="0" distL="0" distR="0">
            <wp:extent cx="6279515" cy="3942014"/>
            <wp:effectExtent l="19050" t="19050" r="26035" b="20955"/>
            <wp:docPr id="245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6"/>
                    <pic:cNvPicPr>
                      <a:picLocks noChangeAspect="1" noChangeArrowheads="1"/>
                    </pic:cNvPicPr>
                  </pic:nvPicPr>
                  <pic:blipFill>
                    <a:blip r:embed="rId14" cstate="print"/>
                    <a:srcRect/>
                    <a:stretch>
                      <a:fillRect/>
                    </a:stretch>
                  </pic:blipFill>
                  <pic:spPr bwMode="auto">
                    <a:xfrm>
                      <a:off x="0" y="0"/>
                      <a:ext cx="6279515" cy="3942014"/>
                    </a:xfrm>
                    <a:prstGeom prst="rect">
                      <a:avLst/>
                    </a:prstGeom>
                    <a:noFill/>
                    <a:ln w="9525">
                      <a:solidFill>
                        <a:schemeClr val="accent2">
                          <a:lumMod val="50000"/>
                        </a:schemeClr>
                      </a:solidFill>
                      <a:miter lim="800000"/>
                      <a:headEnd/>
                      <a:tailEnd/>
                    </a:ln>
                    <a:effectLst/>
                  </pic:spPr>
                </pic:pic>
              </a:graphicData>
            </a:graphic>
          </wp:inline>
        </w:drawing>
      </w:r>
    </w:p>
    <w:p w:rsidR="008733FC" w:rsidRPr="00AE2E5D" w:rsidRDefault="008733FC" w:rsidP="00AE2E5D">
      <w:pPr>
        <w:spacing w:after="120" w:line="360" w:lineRule="auto"/>
        <w:jc w:val="both"/>
        <w:rPr>
          <w:rFonts w:ascii="Arial" w:hAnsi="Arial" w:cs="Arial"/>
          <w:sz w:val="22"/>
          <w:szCs w:val="22"/>
        </w:rPr>
      </w:pPr>
      <w:r w:rsidRPr="008733FC">
        <w:rPr>
          <w:rFonts w:ascii="Arial" w:hAnsi="Arial" w:cs="Arial"/>
          <w:noProof/>
          <w:sz w:val="22"/>
          <w:szCs w:val="22"/>
          <w:lang w:eastAsia="it-IT"/>
        </w:rPr>
        <w:lastRenderedPageBreak/>
        <w:drawing>
          <wp:inline distT="0" distB="0" distL="0" distR="0">
            <wp:extent cx="5903913" cy="6505575"/>
            <wp:effectExtent l="19050" t="19050" r="20955" b="9525"/>
            <wp:docPr id="25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pic:cNvPicPr>
                      <a:picLocks noChangeAspect="1" noChangeArrowheads="1"/>
                    </pic:cNvPicPr>
                  </pic:nvPicPr>
                  <pic:blipFill>
                    <a:blip r:embed="rId15" cstate="print"/>
                    <a:srcRect/>
                    <a:stretch>
                      <a:fillRect/>
                    </a:stretch>
                  </pic:blipFill>
                  <pic:spPr bwMode="auto">
                    <a:xfrm>
                      <a:off x="0" y="0"/>
                      <a:ext cx="5903913" cy="6505575"/>
                    </a:xfrm>
                    <a:prstGeom prst="rect">
                      <a:avLst/>
                    </a:prstGeom>
                    <a:noFill/>
                    <a:ln w="9525">
                      <a:solidFill>
                        <a:schemeClr val="accent2">
                          <a:lumMod val="50000"/>
                        </a:schemeClr>
                      </a:solidFill>
                      <a:miter lim="800000"/>
                      <a:headEnd/>
                      <a:tailEnd/>
                    </a:ln>
                    <a:effectLst/>
                  </pic:spPr>
                </pic:pic>
              </a:graphicData>
            </a:graphic>
          </wp:inline>
        </w:drawing>
      </w:r>
    </w:p>
    <w:p w:rsidR="00AE2E5D" w:rsidRPr="00AE2E5D" w:rsidRDefault="00AE2E5D" w:rsidP="00AE2E5D">
      <w:pPr>
        <w:spacing w:after="120" w:line="360" w:lineRule="auto"/>
        <w:ind w:left="360"/>
        <w:jc w:val="both"/>
        <w:rPr>
          <w:rFonts w:ascii="Arial" w:hAnsi="Arial" w:cs="Arial"/>
          <w:sz w:val="22"/>
          <w:szCs w:val="22"/>
        </w:rPr>
      </w:pPr>
    </w:p>
    <w:p w:rsidR="00AE2E5D" w:rsidRPr="00AE2E5D" w:rsidRDefault="00AE2E5D" w:rsidP="00AE2E5D">
      <w:pPr>
        <w:spacing w:after="120" w:line="360" w:lineRule="auto"/>
        <w:ind w:left="360"/>
        <w:jc w:val="both"/>
        <w:rPr>
          <w:rFonts w:ascii="Arial" w:hAnsi="Arial" w:cs="Arial"/>
          <w:sz w:val="22"/>
          <w:szCs w:val="22"/>
        </w:rPr>
      </w:pPr>
    </w:p>
    <w:p w:rsidR="00AE2E5D" w:rsidRPr="00AE2E5D" w:rsidRDefault="00AE2E5D" w:rsidP="00AE2E5D">
      <w:pPr>
        <w:spacing w:after="120" w:line="360" w:lineRule="auto"/>
        <w:ind w:left="360"/>
        <w:jc w:val="both"/>
        <w:rPr>
          <w:rFonts w:ascii="Arial" w:hAnsi="Arial" w:cs="Arial"/>
          <w:sz w:val="22"/>
          <w:szCs w:val="22"/>
        </w:rPr>
      </w:pPr>
    </w:p>
    <w:p w:rsidR="00AE2E5D" w:rsidRPr="00AE2E5D" w:rsidRDefault="00AE2E5D" w:rsidP="00AE2E5D">
      <w:pPr>
        <w:spacing w:after="120" w:line="360" w:lineRule="auto"/>
        <w:ind w:left="360"/>
        <w:jc w:val="both"/>
        <w:rPr>
          <w:rFonts w:ascii="Arial" w:hAnsi="Arial" w:cs="Arial"/>
          <w:sz w:val="22"/>
          <w:szCs w:val="22"/>
        </w:rPr>
      </w:pPr>
    </w:p>
    <w:p w:rsidR="007567C5" w:rsidRPr="007567C5" w:rsidRDefault="007567C5" w:rsidP="007567C5">
      <w:pPr>
        <w:spacing w:before="120" w:after="120" w:line="360" w:lineRule="auto"/>
        <w:ind w:left="360"/>
        <w:jc w:val="both"/>
        <w:rPr>
          <w:rFonts w:ascii="Arial" w:hAnsi="Arial" w:cs="Arial"/>
          <w:sz w:val="22"/>
          <w:szCs w:val="22"/>
        </w:rPr>
      </w:pPr>
    </w:p>
    <w:p w:rsidR="00D660FC" w:rsidRPr="00D660FC" w:rsidRDefault="00D660FC" w:rsidP="00770F3F">
      <w:pPr>
        <w:pStyle w:val="Titolo3"/>
      </w:pPr>
      <w:bookmarkStart w:id="8" w:name="_Toc409780584"/>
      <w:r w:rsidRPr="00D660FC">
        <w:lastRenderedPageBreak/>
        <w:t>Indice statistico calcolato</w:t>
      </w:r>
      <w:bookmarkEnd w:id="8"/>
    </w:p>
    <w:p w:rsidR="00D660FC" w:rsidRPr="00CC12FD" w:rsidRDefault="00D660FC" w:rsidP="00042B53">
      <w:pPr>
        <w:spacing w:before="120" w:after="120" w:line="360" w:lineRule="auto"/>
        <w:jc w:val="both"/>
        <w:rPr>
          <w:rFonts w:ascii="Arial" w:hAnsi="Arial" w:cs="Arial"/>
          <w:sz w:val="24"/>
          <w:szCs w:val="24"/>
        </w:rPr>
      </w:pPr>
      <w:r w:rsidRPr="00CC12FD">
        <w:rPr>
          <w:rFonts w:ascii="Arial" w:hAnsi="Arial" w:cs="Arial"/>
          <w:sz w:val="24"/>
          <w:szCs w:val="24"/>
        </w:rPr>
        <w:t xml:space="preserve">SMR è l’acronimo utilizzato nella letteratura scientifica per </w:t>
      </w:r>
      <w:proofErr w:type="spellStart"/>
      <w:r w:rsidRPr="00CC12FD">
        <w:rPr>
          <w:rFonts w:ascii="Arial" w:hAnsi="Arial" w:cs="Arial"/>
          <w:sz w:val="24"/>
          <w:szCs w:val="24"/>
        </w:rPr>
        <w:t>Standardized</w:t>
      </w:r>
      <w:proofErr w:type="spellEnd"/>
      <w:r w:rsidRPr="00CC12FD">
        <w:rPr>
          <w:rFonts w:ascii="Arial" w:hAnsi="Arial" w:cs="Arial"/>
          <w:sz w:val="24"/>
          <w:szCs w:val="24"/>
        </w:rPr>
        <w:t xml:space="preserve"> </w:t>
      </w:r>
      <w:proofErr w:type="spellStart"/>
      <w:r w:rsidRPr="00CC12FD">
        <w:rPr>
          <w:rFonts w:ascii="Arial" w:hAnsi="Arial" w:cs="Arial"/>
          <w:sz w:val="24"/>
          <w:szCs w:val="24"/>
        </w:rPr>
        <w:t>Mortality</w:t>
      </w:r>
      <w:proofErr w:type="spellEnd"/>
      <w:r w:rsidRPr="00CC12FD">
        <w:rPr>
          <w:rFonts w:ascii="Arial" w:hAnsi="Arial" w:cs="Arial"/>
          <w:sz w:val="24"/>
          <w:szCs w:val="24"/>
        </w:rPr>
        <w:t xml:space="preserve"> Ratio (rapport</w:t>
      </w:r>
      <w:r w:rsidR="005739A4" w:rsidRPr="00CC12FD">
        <w:rPr>
          <w:rFonts w:ascii="Arial" w:hAnsi="Arial" w:cs="Arial"/>
          <w:sz w:val="24"/>
          <w:szCs w:val="24"/>
        </w:rPr>
        <w:t>o standardizzato di mortalità):</w:t>
      </w:r>
    </w:p>
    <w:p w:rsidR="005739A4" w:rsidRPr="00CC12FD" w:rsidRDefault="00A318B4" w:rsidP="005739A4">
      <w:pPr>
        <w:pStyle w:val="PATED"/>
        <w:rPr>
          <w:sz w:val="24"/>
        </w:rPr>
      </w:pPr>
      <w:r w:rsidRPr="00CC12FD">
        <w:rPr>
          <w:position w:val="-50"/>
          <w:sz w:val="24"/>
        </w:rPr>
        <w:object w:dxaOrig="384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54.75pt" o:ole="">
            <v:imagedata r:id="rId16" o:title=""/>
          </v:shape>
          <o:OLEObject Type="Embed" ProgID="Equation.3" ShapeID="_x0000_i1025" DrawAspect="Content" ObjectID="_1505911260" r:id="rId17"/>
        </w:object>
      </w:r>
    </w:p>
    <w:p w:rsidR="005739A4" w:rsidRPr="00CC12FD" w:rsidRDefault="005739A4" w:rsidP="005739A4">
      <w:pPr>
        <w:spacing w:before="120" w:after="120" w:line="360" w:lineRule="auto"/>
        <w:jc w:val="both"/>
        <w:rPr>
          <w:rFonts w:ascii="Arial" w:hAnsi="Arial" w:cs="Arial"/>
          <w:sz w:val="24"/>
          <w:szCs w:val="24"/>
        </w:rPr>
      </w:pPr>
      <w:r w:rsidRPr="00CC12FD">
        <w:rPr>
          <w:rFonts w:ascii="Arial" w:hAnsi="Arial" w:cs="Arial"/>
          <w:sz w:val="24"/>
          <w:szCs w:val="24"/>
        </w:rPr>
        <w:t xml:space="preserve">Dove </w:t>
      </w:r>
      <w:proofErr w:type="spellStart"/>
      <w:r w:rsidRPr="00CC12FD">
        <w:rPr>
          <w:rFonts w:ascii="Arial" w:hAnsi="Arial" w:cs="Arial"/>
          <w:i/>
          <w:sz w:val="24"/>
          <w:szCs w:val="24"/>
        </w:rPr>
        <w:t>e</w:t>
      </w:r>
      <w:r w:rsidRPr="00CC12FD">
        <w:rPr>
          <w:rFonts w:ascii="Arial" w:hAnsi="Arial" w:cs="Arial"/>
          <w:i/>
          <w:sz w:val="24"/>
          <w:szCs w:val="24"/>
          <w:vertAlign w:val="subscript"/>
        </w:rPr>
        <w:t>j</w:t>
      </w:r>
      <w:proofErr w:type="spellEnd"/>
      <w:r w:rsidRPr="00CC12FD">
        <w:rPr>
          <w:rFonts w:ascii="Arial" w:hAnsi="Arial" w:cs="Arial"/>
          <w:sz w:val="24"/>
          <w:szCs w:val="24"/>
          <w:vertAlign w:val="subscript"/>
        </w:rPr>
        <w:t xml:space="preserve"> </w:t>
      </w:r>
      <w:r w:rsidRPr="00CC12FD">
        <w:rPr>
          <w:rFonts w:ascii="Arial" w:hAnsi="Arial" w:cs="Arial"/>
          <w:sz w:val="24"/>
          <w:szCs w:val="24"/>
        </w:rPr>
        <w:t xml:space="preserve">sono gli eventi osservati nel j-imo strato di età, </w:t>
      </w:r>
      <w:proofErr w:type="spellStart"/>
      <w:r w:rsidRPr="00CC12FD">
        <w:rPr>
          <w:rFonts w:ascii="Arial" w:hAnsi="Arial" w:cs="Arial"/>
          <w:i/>
          <w:sz w:val="24"/>
          <w:szCs w:val="24"/>
        </w:rPr>
        <w:t>n</w:t>
      </w:r>
      <w:r w:rsidRPr="00CC12FD">
        <w:rPr>
          <w:rFonts w:ascii="Arial" w:hAnsi="Arial" w:cs="Arial"/>
          <w:i/>
          <w:sz w:val="24"/>
          <w:szCs w:val="24"/>
          <w:vertAlign w:val="subscript"/>
        </w:rPr>
        <w:t>j</w:t>
      </w:r>
      <w:proofErr w:type="spellEnd"/>
      <w:r w:rsidRPr="00CC12FD">
        <w:rPr>
          <w:rFonts w:ascii="Arial" w:hAnsi="Arial" w:cs="Arial"/>
          <w:sz w:val="24"/>
          <w:szCs w:val="24"/>
        </w:rPr>
        <w:t xml:space="preserve"> è la popolazione calcolata come media delle popolazioni del periodo considerato, </w:t>
      </w:r>
      <w:proofErr w:type="spellStart"/>
      <w:r w:rsidRPr="00CC12FD">
        <w:rPr>
          <w:rFonts w:ascii="Arial" w:hAnsi="Arial" w:cs="Arial"/>
          <w:i/>
          <w:sz w:val="24"/>
          <w:szCs w:val="24"/>
        </w:rPr>
        <w:t>T</w:t>
      </w:r>
      <w:r w:rsidRPr="00CC12FD">
        <w:rPr>
          <w:rFonts w:ascii="Arial" w:hAnsi="Arial" w:cs="Arial"/>
          <w:i/>
          <w:sz w:val="24"/>
          <w:szCs w:val="24"/>
          <w:vertAlign w:val="subscript"/>
        </w:rPr>
        <w:t>j</w:t>
      </w:r>
      <w:proofErr w:type="spellEnd"/>
      <w:r w:rsidRPr="00CC12FD">
        <w:rPr>
          <w:rFonts w:ascii="Arial" w:hAnsi="Arial" w:cs="Arial"/>
          <w:sz w:val="24"/>
          <w:szCs w:val="24"/>
        </w:rPr>
        <w:t xml:space="preserve"> e il tasso della popolazione di riferimento ovvero il tasso della intera popolazione italiana nello strato j in ogni singolo anno.</w:t>
      </w:r>
    </w:p>
    <w:p w:rsidR="00D660FC" w:rsidRPr="00CC12FD" w:rsidRDefault="00D660FC" w:rsidP="00042B53">
      <w:pPr>
        <w:spacing w:before="120" w:after="120" w:line="360" w:lineRule="auto"/>
        <w:jc w:val="both"/>
        <w:rPr>
          <w:rFonts w:ascii="Arial" w:hAnsi="Arial" w:cs="Arial"/>
          <w:sz w:val="24"/>
          <w:szCs w:val="24"/>
        </w:rPr>
      </w:pPr>
      <w:r w:rsidRPr="00CC12FD">
        <w:rPr>
          <w:rFonts w:ascii="Arial" w:hAnsi="Arial" w:cs="Arial"/>
          <w:sz w:val="24"/>
          <w:szCs w:val="24"/>
        </w:rPr>
        <w:t>Tale indice compara il numero di decessi osservati in una certa popolazione (ad es. i residenti in un Comune) con il numero di decessi attesi in essa, secondo la distribuzione di mortalità di una popolazione di riferimento (ad es. i residenti nella Regione in cui si trova il Comune).</w:t>
      </w:r>
    </w:p>
    <w:p w:rsidR="00D660FC" w:rsidRPr="00CC12FD" w:rsidRDefault="00D660FC" w:rsidP="00042B53">
      <w:pPr>
        <w:spacing w:before="120" w:after="120" w:line="360" w:lineRule="auto"/>
        <w:jc w:val="both"/>
        <w:rPr>
          <w:rFonts w:ascii="Arial" w:hAnsi="Arial" w:cs="Arial"/>
          <w:sz w:val="24"/>
          <w:szCs w:val="24"/>
        </w:rPr>
      </w:pPr>
      <w:r w:rsidRPr="00CC12FD">
        <w:rPr>
          <w:rFonts w:ascii="Arial" w:hAnsi="Arial" w:cs="Arial"/>
          <w:sz w:val="24"/>
          <w:szCs w:val="24"/>
        </w:rPr>
        <w:t xml:space="preserve">L’aggettivo standardizzato si riferisce al fatto che si tiene conto delle diverse distribuzioni per età, in modo che esse non influenzino i risultati. </w:t>
      </w:r>
    </w:p>
    <w:p w:rsidR="00D660FC" w:rsidRPr="00CC12FD" w:rsidRDefault="00D660FC" w:rsidP="00042B53">
      <w:pPr>
        <w:spacing w:before="120" w:after="120" w:line="360" w:lineRule="auto"/>
        <w:jc w:val="both"/>
        <w:rPr>
          <w:rFonts w:ascii="Arial" w:hAnsi="Arial" w:cs="Arial"/>
          <w:sz w:val="24"/>
          <w:szCs w:val="24"/>
        </w:rPr>
      </w:pPr>
      <w:r w:rsidRPr="00CC12FD">
        <w:rPr>
          <w:rFonts w:ascii="Arial" w:hAnsi="Arial" w:cs="Arial"/>
          <w:sz w:val="24"/>
          <w:szCs w:val="24"/>
        </w:rPr>
        <w:t xml:space="preserve">L’SMR esprime dunque, in percentuale, l’eccesso o il difetto di mortalità della popolazione in studio rapportata a quella di riferimento, al netto delle influenze esercitate dalla diversa composizione per età. Il valore 100 esprime il valore medio della popolazione scelta come riferimento: valori di SMR inferiori a 100 rappresentano un difetto di mortalità, quelli superiori rappresentano eccessi. </w:t>
      </w:r>
    </w:p>
    <w:p w:rsidR="00D660FC" w:rsidRPr="00CC12FD" w:rsidRDefault="00D660FC" w:rsidP="00042B53">
      <w:pPr>
        <w:spacing w:before="120" w:after="120" w:line="360" w:lineRule="auto"/>
        <w:jc w:val="both"/>
        <w:rPr>
          <w:rFonts w:ascii="Arial" w:hAnsi="Arial" w:cs="Arial"/>
          <w:sz w:val="24"/>
          <w:szCs w:val="24"/>
        </w:rPr>
      </w:pPr>
      <w:r w:rsidRPr="00CC12FD">
        <w:rPr>
          <w:rFonts w:ascii="Arial" w:hAnsi="Arial" w:cs="Arial"/>
          <w:sz w:val="24"/>
          <w:szCs w:val="24"/>
        </w:rPr>
        <w:t>Per una più completa trattazione statistica, un singolo valore (in questo caso l’SMR) viene corredato da un intervallo di valori (detto Intervallo di Confidenza, in sigla IC); valori dell’IC al 90% di confidenza indicano che vi è una probabilità del 90% che l'intervallo stimato includa la vera caratteristica della popolazione. In altre parole, esso esprime il livello di precisione dell’indicatore stimato.</w:t>
      </w:r>
    </w:p>
    <w:p w:rsidR="00F714BD" w:rsidRPr="00CC12FD" w:rsidRDefault="00D660FC" w:rsidP="00F714BD">
      <w:pPr>
        <w:spacing w:before="120" w:after="120" w:line="360" w:lineRule="auto"/>
        <w:jc w:val="both"/>
        <w:rPr>
          <w:rFonts w:ascii="Arial" w:hAnsi="Arial" w:cs="Arial"/>
          <w:sz w:val="24"/>
          <w:szCs w:val="24"/>
        </w:rPr>
      </w:pPr>
      <w:r w:rsidRPr="00CC12FD">
        <w:rPr>
          <w:rFonts w:ascii="Arial" w:hAnsi="Arial" w:cs="Arial"/>
          <w:sz w:val="24"/>
          <w:szCs w:val="24"/>
        </w:rPr>
        <w:t>Per una rapida lettura dei dati, si ricordi che gli SMR i cui intervalli di confidenza contengono il valore 100 sono da considerare non significativi.</w:t>
      </w:r>
    </w:p>
    <w:p w:rsidR="005739A4" w:rsidRPr="00CC12FD" w:rsidRDefault="005739A4" w:rsidP="005739A4">
      <w:pPr>
        <w:spacing w:before="120" w:after="120" w:line="360" w:lineRule="auto"/>
        <w:jc w:val="both"/>
        <w:rPr>
          <w:rFonts w:ascii="Arial" w:hAnsi="Arial" w:cs="Arial"/>
          <w:sz w:val="24"/>
          <w:szCs w:val="24"/>
        </w:rPr>
      </w:pPr>
      <w:r w:rsidRPr="00CC12FD">
        <w:rPr>
          <w:rFonts w:ascii="Arial" w:hAnsi="Arial" w:cs="Arial"/>
          <w:sz w:val="24"/>
          <w:szCs w:val="24"/>
        </w:rPr>
        <w:t xml:space="preserve">Quando il numero delle morti osservate è maggiore o uguale a 100, si assume che gli SMR abbiano una distribuzione gaussiana e le </w:t>
      </w:r>
      <w:bookmarkStart w:id="9" w:name="2"/>
      <w:bookmarkEnd w:id="9"/>
      <w:r w:rsidR="002629D0" w:rsidRPr="00CC12FD">
        <w:rPr>
          <w:rFonts w:ascii="Arial" w:hAnsi="Arial" w:cs="Arial"/>
          <w:sz w:val="24"/>
          <w:szCs w:val="24"/>
        </w:rPr>
        <w:fldChar w:fldCharType="begin"/>
      </w:r>
      <w:r w:rsidRPr="00CC12FD">
        <w:rPr>
          <w:rFonts w:ascii="Arial" w:hAnsi="Arial" w:cs="Arial"/>
          <w:sz w:val="24"/>
          <w:szCs w:val="24"/>
        </w:rPr>
        <w:instrText xml:space="preserve"> HYPERLINK "http://www.asplazio.it/asp_online/stato_salute/Sim_93_98/testo/bibliografia.htm" \l "2" \t "_self" </w:instrText>
      </w:r>
      <w:r w:rsidR="002629D0" w:rsidRPr="00CC12FD">
        <w:rPr>
          <w:rFonts w:ascii="Arial" w:hAnsi="Arial" w:cs="Arial"/>
          <w:sz w:val="24"/>
          <w:szCs w:val="24"/>
        </w:rPr>
        <w:fldChar w:fldCharType="separate"/>
      </w:r>
      <w:r w:rsidRPr="00CC12FD">
        <w:rPr>
          <w:rFonts w:ascii="Arial" w:hAnsi="Arial" w:cs="Arial"/>
          <w:sz w:val="24"/>
          <w:szCs w:val="24"/>
        </w:rPr>
        <w:t>formule</w:t>
      </w:r>
      <w:r w:rsidR="002629D0" w:rsidRPr="00CC12FD">
        <w:rPr>
          <w:rFonts w:ascii="Arial" w:hAnsi="Arial" w:cs="Arial"/>
          <w:sz w:val="24"/>
          <w:szCs w:val="24"/>
        </w:rPr>
        <w:fldChar w:fldCharType="end"/>
      </w:r>
      <w:r w:rsidRPr="00CC12FD">
        <w:rPr>
          <w:rFonts w:ascii="Arial" w:hAnsi="Arial" w:cs="Arial"/>
          <w:sz w:val="24"/>
          <w:szCs w:val="24"/>
        </w:rPr>
        <w:t xml:space="preserve"> per i limiti superiore ed inferiore dell'intervallo di confidenza al 90% dell'SMR sono: </w:t>
      </w:r>
    </w:p>
    <w:p w:rsidR="005739A4" w:rsidRPr="00CC12FD" w:rsidRDefault="00E63ED9" w:rsidP="005739A4">
      <w:pPr>
        <w:spacing w:before="120" w:after="120" w:line="360" w:lineRule="auto"/>
        <w:jc w:val="both"/>
        <w:rPr>
          <w:sz w:val="24"/>
          <w:szCs w:val="24"/>
        </w:rPr>
      </w:pPr>
      <w:r w:rsidRPr="00CC12FD">
        <w:rPr>
          <w:position w:val="-24"/>
          <w:sz w:val="24"/>
          <w:szCs w:val="24"/>
        </w:rPr>
        <w:object w:dxaOrig="3739" w:dyaOrig="680">
          <v:shape id="_x0000_i1026" type="#_x0000_t75" style="width:186.75pt;height:33.75pt" o:ole="">
            <v:imagedata r:id="rId18" o:title=""/>
          </v:shape>
          <o:OLEObject Type="Embed" ProgID="Equation.3" ShapeID="_x0000_i1026" DrawAspect="Content" ObjectID="_1505911261" r:id="rId19"/>
        </w:object>
      </w:r>
    </w:p>
    <w:p w:rsidR="00E63ED9" w:rsidRPr="00CC12FD" w:rsidRDefault="00E63ED9" w:rsidP="005739A4">
      <w:pPr>
        <w:spacing w:before="120" w:after="120" w:line="360" w:lineRule="auto"/>
        <w:jc w:val="both"/>
        <w:rPr>
          <w:rFonts w:ascii="Arial" w:hAnsi="Arial" w:cs="Arial"/>
          <w:sz w:val="24"/>
          <w:szCs w:val="24"/>
        </w:rPr>
      </w:pPr>
      <w:r w:rsidRPr="00CC12FD">
        <w:rPr>
          <w:position w:val="-24"/>
          <w:sz w:val="24"/>
          <w:szCs w:val="24"/>
        </w:rPr>
        <w:object w:dxaOrig="3800" w:dyaOrig="680">
          <v:shape id="_x0000_i1027" type="#_x0000_t75" style="width:190.5pt;height:33.75pt" o:ole="">
            <v:imagedata r:id="rId20" o:title=""/>
          </v:shape>
          <o:OLEObject Type="Embed" ProgID="Equation.3" ShapeID="_x0000_i1027" DrawAspect="Content" ObjectID="_1505911262" r:id="rId21"/>
        </w:object>
      </w:r>
    </w:p>
    <w:p w:rsidR="005739A4" w:rsidRPr="00CC12FD" w:rsidRDefault="005739A4" w:rsidP="005739A4">
      <w:pPr>
        <w:spacing w:before="120" w:after="120" w:line="360" w:lineRule="auto"/>
        <w:jc w:val="both"/>
        <w:rPr>
          <w:rFonts w:ascii="Arial" w:hAnsi="Arial" w:cs="Arial"/>
          <w:sz w:val="24"/>
          <w:szCs w:val="24"/>
        </w:rPr>
      </w:pPr>
      <w:r w:rsidRPr="00CC12FD">
        <w:rPr>
          <w:rFonts w:ascii="Arial" w:hAnsi="Arial" w:cs="Arial"/>
          <w:sz w:val="24"/>
          <w:szCs w:val="24"/>
        </w:rPr>
        <w:t xml:space="preserve">Se invece il numero delle morti osservate è inferiore a 100, si assume che gli SMR seguano una distribuzione di </w:t>
      </w:r>
      <w:proofErr w:type="spellStart"/>
      <w:r w:rsidRPr="00CC12FD">
        <w:rPr>
          <w:rFonts w:ascii="Arial" w:hAnsi="Arial" w:cs="Arial"/>
          <w:sz w:val="24"/>
          <w:szCs w:val="24"/>
        </w:rPr>
        <w:t>Poisson</w:t>
      </w:r>
      <w:proofErr w:type="spellEnd"/>
      <w:r w:rsidRPr="00CC12FD">
        <w:rPr>
          <w:rFonts w:ascii="Arial" w:hAnsi="Arial" w:cs="Arial"/>
          <w:sz w:val="24"/>
          <w:szCs w:val="24"/>
        </w:rPr>
        <w:t xml:space="preserve"> e le </w:t>
      </w:r>
      <w:bookmarkStart w:id="10" w:name="3"/>
      <w:bookmarkEnd w:id="10"/>
      <w:r w:rsidR="002629D0" w:rsidRPr="00CC12FD">
        <w:rPr>
          <w:rFonts w:ascii="Arial" w:hAnsi="Arial" w:cs="Arial"/>
          <w:sz w:val="24"/>
          <w:szCs w:val="24"/>
        </w:rPr>
        <w:fldChar w:fldCharType="begin"/>
      </w:r>
      <w:r w:rsidRPr="00CC12FD">
        <w:rPr>
          <w:rFonts w:ascii="Arial" w:hAnsi="Arial" w:cs="Arial"/>
          <w:sz w:val="24"/>
          <w:szCs w:val="24"/>
        </w:rPr>
        <w:instrText xml:space="preserve"> HYPERLINK "http://www.asplazio.it/asp_online/stato_salute/Sim_93_98/testo/bibliografia.htm" \l "3" \t "_self" </w:instrText>
      </w:r>
      <w:r w:rsidR="002629D0" w:rsidRPr="00CC12FD">
        <w:rPr>
          <w:rFonts w:ascii="Arial" w:hAnsi="Arial" w:cs="Arial"/>
          <w:sz w:val="24"/>
          <w:szCs w:val="24"/>
        </w:rPr>
        <w:fldChar w:fldCharType="separate"/>
      </w:r>
      <w:r w:rsidRPr="00CC12FD">
        <w:rPr>
          <w:rFonts w:ascii="Arial" w:hAnsi="Arial" w:cs="Arial"/>
          <w:sz w:val="24"/>
          <w:szCs w:val="24"/>
        </w:rPr>
        <w:t>formule</w:t>
      </w:r>
      <w:r w:rsidR="002629D0" w:rsidRPr="00CC12FD">
        <w:rPr>
          <w:rFonts w:ascii="Arial" w:hAnsi="Arial" w:cs="Arial"/>
          <w:sz w:val="24"/>
          <w:szCs w:val="24"/>
        </w:rPr>
        <w:fldChar w:fldCharType="end"/>
      </w:r>
      <w:r w:rsidRPr="00CC12FD">
        <w:rPr>
          <w:rFonts w:ascii="Arial" w:hAnsi="Arial" w:cs="Arial"/>
          <w:sz w:val="24"/>
          <w:szCs w:val="24"/>
        </w:rPr>
        <w:t xml:space="preserve"> per i limiti degli intervalli di confidenza sono:</w:t>
      </w:r>
    </w:p>
    <w:p w:rsidR="00D660FC" w:rsidRPr="00D660FC" w:rsidRDefault="00DC61C7" w:rsidP="00DC61C7">
      <w:pPr>
        <w:spacing w:before="120" w:after="120" w:line="360" w:lineRule="auto"/>
        <w:jc w:val="both"/>
      </w:pPr>
      <w:r w:rsidRPr="00CC12FD">
        <w:rPr>
          <w:position w:val="-24"/>
          <w:sz w:val="24"/>
          <w:szCs w:val="24"/>
        </w:rPr>
        <w:object w:dxaOrig="1760" w:dyaOrig="680">
          <v:shape id="_x0000_i1028" type="#_x0000_t75" style="width:88.5pt;height:33.75pt" o:ole="">
            <v:imagedata r:id="rId22" o:title=""/>
          </v:shape>
          <o:OLEObject Type="Embed" ProgID="Equation.3" ShapeID="_x0000_i1028" DrawAspect="Content" ObjectID="_1505911263" r:id="rId23"/>
        </w:object>
      </w:r>
      <w:r w:rsidR="005739A4" w:rsidRPr="00CC12FD">
        <w:rPr>
          <w:rFonts w:ascii="Arial" w:hAnsi="Arial" w:cs="Arial"/>
          <w:sz w:val="24"/>
          <w:szCs w:val="24"/>
        </w:rPr>
        <w:br/>
      </w:r>
      <w:r w:rsidRPr="00CC12FD">
        <w:rPr>
          <w:position w:val="-24"/>
          <w:sz w:val="24"/>
          <w:szCs w:val="24"/>
        </w:rPr>
        <w:object w:dxaOrig="2100" w:dyaOrig="680">
          <v:shape id="_x0000_i1029" type="#_x0000_t75" style="width:105pt;height:33.75pt" o:ole="">
            <v:imagedata r:id="rId24" o:title=""/>
          </v:shape>
          <o:OLEObject Type="Embed" ProgID="Equation.3" ShapeID="_x0000_i1029" DrawAspect="Content" ObjectID="_1505911264" r:id="rId25"/>
        </w:object>
      </w:r>
      <w:r w:rsidR="005739A4" w:rsidRPr="00CC12FD">
        <w:rPr>
          <w:rFonts w:ascii="Arial" w:hAnsi="Arial" w:cs="Arial"/>
          <w:sz w:val="24"/>
          <w:szCs w:val="24"/>
        </w:rPr>
        <w:br/>
      </w:r>
      <w:r w:rsidR="005739A4" w:rsidRPr="005739A4">
        <w:rPr>
          <w:rFonts w:ascii="Arial" w:hAnsi="Arial" w:cs="Arial"/>
          <w:sz w:val="22"/>
          <w:szCs w:val="22"/>
        </w:rPr>
        <w:br/>
      </w:r>
      <w:r w:rsidR="00D660FC" w:rsidRPr="00DC61C7">
        <w:rPr>
          <w:rStyle w:val="Titolo3Carattere"/>
        </w:rPr>
        <w:t>Aggiustamento per indice di deprivazione</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xml:space="preserve">Tutti </w:t>
      </w:r>
      <w:proofErr w:type="gramStart"/>
      <w:r w:rsidRPr="00CC12FD">
        <w:rPr>
          <w:rFonts w:ascii="Arial" w:hAnsi="Arial" w:cs="Arial"/>
          <w:sz w:val="24"/>
          <w:szCs w:val="24"/>
        </w:rPr>
        <w:t>i  rapporti</w:t>
      </w:r>
      <w:proofErr w:type="gramEnd"/>
      <w:r w:rsidRPr="00CC12FD">
        <w:rPr>
          <w:rFonts w:ascii="Arial" w:hAnsi="Arial" w:cs="Arial"/>
          <w:sz w:val="24"/>
          <w:szCs w:val="24"/>
        </w:rPr>
        <w:t xml:space="preserve"> standardizzati calcolati in questo lavoro sono stati aggiustati per indice di deprivazione. L'indice di deprivazione (ID) è una misura composita che esprime la deprivazione a livello di popolazioni residenti in aree geografiche, le cui prime formulazioni sono state elaborate in Gran Bretagna per studiare le differenze di salute tra aree diverse</w:t>
      </w:r>
      <w:r w:rsidR="007242A0" w:rsidRPr="00CC12FD">
        <w:rPr>
          <w:rFonts w:ascii="Arial" w:hAnsi="Arial" w:cs="Arial"/>
          <w:sz w:val="24"/>
          <w:szCs w:val="24"/>
        </w:rPr>
        <w:t xml:space="preserve"> </w:t>
      </w:r>
      <w:proofErr w:type="gramStart"/>
      <w:r w:rsidR="007242A0" w:rsidRPr="00CC12FD">
        <w:rPr>
          <w:rFonts w:ascii="Arial" w:hAnsi="Arial" w:cs="Arial"/>
          <w:sz w:val="24"/>
          <w:szCs w:val="24"/>
          <w:vertAlign w:val="superscript"/>
        </w:rPr>
        <w:t>(</w:t>
      </w:r>
      <w:r w:rsidR="007242A0" w:rsidRPr="00CC12FD">
        <w:rPr>
          <w:rStyle w:val="Rimandonotaapidipagina"/>
          <w:rFonts w:ascii="Arial" w:hAnsi="Arial" w:cs="Arial"/>
          <w:sz w:val="24"/>
          <w:szCs w:val="24"/>
        </w:rPr>
        <w:footnoteReference w:id="5"/>
      </w:r>
      <w:r w:rsidR="007242A0" w:rsidRPr="00CC12FD">
        <w:rPr>
          <w:rFonts w:ascii="Arial" w:hAnsi="Arial" w:cs="Arial"/>
          <w:sz w:val="24"/>
          <w:szCs w:val="24"/>
          <w:vertAlign w:val="superscript"/>
        </w:rPr>
        <w:t>,</w:t>
      </w:r>
      <w:r w:rsidR="007242A0" w:rsidRPr="00CC12FD">
        <w:rPr>
          <w:rStyle w:val="Rimandonotaapidipagina"/>
          <w:rFonts w:ascii="Arial" w:hAnsi="Arial" w:cs="Arial"/>
          <w:sz w:val="24"/>
          <w:szCs w:val="24"/>
        </w:rPr>
        <w:footnoteReference w:id="6"/>
      </w:r>
      <w:r w:rsidR="007242A0" w:rsidRPr="00CC12FD">
        <w:rPr>
          <w:rFonts w:ascii="Arial" w:hAnsi="Arial" w:cs="Arial"/>
          <w:sz w:val="24"/>
          <w:szCs w:val="24"/>
          <w:vertAlign w:val="superscript"/>
        </w:rPr>
        <w:t>,</w:t>
      </w:r>
      <w:proofErr w:type="gramEnd"/>
      <w:r w:rsidR="007242A0" w:rsidRPr="00CC12FD">
        <w:rPr>
          <w:rStyle w:val="Rimandonotaapidipagina"/>
          <w:rFonts w:ascii="Arial" w:hAnsi="Arial" w:cs="Arial"/>
          <w:sz w:val="24"/>
          <w:szCs w:val="24"/>
        </w:rPr>
        <w:footnoteReference w:id="7"/>
      </w:r>
      <w:r w:rsidR="007242A0" w:rsidRPr="00CC12FD">
        <w:rPr>
          <w:rFonts w:ascii="Arial" w:hAnsi="Arial" w:cs="Arial"/>
          <w:sz w:val="24"/>
          <w:szCs w:val="24"/>
          <w:vertAlign w:val="superscript"/>
        </w:rPr>
        <w:t>)</w:t>
      </w:r>
      <w:r w:rsidR="007242A0" w:rsidRPr="00CC12FD">
        <w:rPr>
          <w:rFonts w:ascii="Arial" w:hAnsi="Arial" w:cs="Arial"/>
          <w:sz w:val="24"/>
          <w:szCs w:val="24"/>
        </w:rPr>
        <w:t>.</w:t>
      </w:r>
      <w:r w:rsidRPr="00CC12FD">
        <w:rPr>
          <w:rFonts w:ascii="Arial" w:hAnsi="Arial" w:cs="Arial"/>
          <w:sz w:val="24"/>
          <w:szCs w:val="24"/>
        </w:rPr>
        <w:t xml:space="preserve"> </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L’ID utilizzato in questo lavoro è lo stesso adottato nello studio SENTIERI (ID-SENTIERI)</w:t>
      </w:r>
      <w:r w:rsidR="007242A0" w:rsidRPr="00CC12FD">
        <w:rPr>
          <w:rStyle w:val="Rimandonotaapidipagina"/>
          <w:rFonts w:ascii="Arial" w:hAnsi="Arial" w:cs="Arial"/>
          <w:sz w:val="24"/>
          <w:szCs w:val="24"/>
        </w:rPr>
        <w:footnoteReference w:id="8"/>
      </w:r>
      <w:r w:rsidRPr="00CC12FD">
        <w:rPr>
          <w:rFonts w:ascii="Arial" w:hAnsi="Arial" w:cs="Arial"/>
          <w:sz w:val="24"/>
          <w:szCs w:val="24"/>
        </w:rPr>
        <w:t xml:space="preserve"> ed è stato costruito sulla base dei seguenti quattro indicatori semplici ottenuti da dati del Censimento 2001:</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percentuale di popolazione con istruzione pari o inferiore alla licenza elementare;</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percentuale di popolazione attiva disoccupata o in cerca di prima occupazione;</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percentuale di abitazioni occupate in affitto;</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densità abitativa (occupanti per 100 m</w:t>
      </w:r>
      <w:r w:rsidRPr="00CC12FD">
        <w:rPr>
          <w:rFonts w:ascii="Arial" w:hAnsi="Arial" w:cs="Arial"/>
          <w:sz w:val="24"/>
          <w:szCs w:val="24"/>
          <w:vertAlign w:val="superscript"/>
        </w:rPr>
        <w:t>2</w:t>
      </w:r>
      <w:r w:rsidRPr="00CC12FD">
        <w:rPr>
          <w:rFonts w:ascii="Arial" w:hAnsi="Arial" w:cs="Arial"/>
          <w:sz w:val="24"/>
          <w:szCs w:val="24"/>
        </w:rPr>
        <w:t>).</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xml:space="preserve">Per lo studio della mortalità e dei ricoveri ospedalieri l’indice è stato calibrato a livello regionale, mentre per l’incidenza tumorale la calibrazione è stata ottenuta a livello delle due macro regioni di </w:t>
      </w:r>
      <w:proofErr w:type="gramStart"/>
      <w:r w:rsidRPr="00CC12FD">
        <w:rPr>
          <w:rFonts w:ascii="Arial" w:hAnsi="Arial" w:cs="Arial"/>
          <w:sz w:val="24"/>
          <w:szCs w:val="24"/>
        </w:rPr>
        <w:t>riferimento:  l’insieme</w:t>
      </w:r>
      <w:proofErr w:type="gramEnd"/>
      <w:r w:rsidRPr="00CC12FD">
        <w:rPr>
          <w:rFonts w:ascii="Arial" w:hAnsi="Arial" w:cs="Arial"/>
          <w:sz w:val="24"/>
          <w:szCs w:val="24"/>
        </w:rPr>
        <w:t xml:space="preserve"> dei comuni dei registri tumori del centro-nord e l’insieme dei comuni dei registri tumori del centro-sud.</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Per ciascun comune e per ogni indicatore è stato calcolato il punteggio Z:</w:t>
      </w:r>
    </w:p>
    <w:p w:rsidR="00EE7FAB" w:rsidRPr="00CC12FD" w:rsidRDefault="00EE7FAB" w:rsidP="00EE7FAB">
      <w:pPr>
        <w:spacing w:before="120" w:after="120" w:line="360" w:lineRule="auto"/>
        <w:jc w:val="both"/>
        <w:rPr>
          <w:rFonts w:ascii="Arial" w:hAnsi="Arial" w:cs="Arial"/>
          <w:sz w:val="24"/>
          <w:szCs w:val="24"/>
        </w:rPr>
      </w:pPr>
      <w:r w:rsidRPr="00CC12FD">
        <w:rPr>
          <w:rFonts w:eastAsia="Times New Roman"/>
          <w:sz w:val="24"/>
          <w:szCs w:val="24"/>
          <w:lang w:eastAsia="it-IT"/>
        </w:rPr>
        <w:object w:dxaOrig="1200" w:dyaOrig="680">
          <v:shape id="_x0000_i1030" type="#_x0000_t75" style="width:60pt;height:33.75pt" o:ole="">
            <v:imagedata r:id="rId26" o:title=""/>
          </v:shape>
          <o:OLEObject Type="Embed" ProgID="Equation.3" ShapeID="_x0000_i1030" DrawAspect="Content" ObjectID="_1505911265" r:id="rId27"/>
        </w:object>
      </w:r>
      <w:r w:rsidRPr="00CC12FD">
        <w:rPr>
          <w:rFonts w:ascii="Arial" w:hAnsi="Arial" w:cs="Arial"/>
          <w:sz w:val="24"/>
          <w:szCs w:val="24"/>
        </w:rPr>
        <w:tab/>
        <w:t xml:space="preserve"> </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Dove per ogni comune:</w:t>
      </w:r>
    </w:p>
    <w:p w:rsidR="00EE7FAB" w:rsidRPr="00CC12FD" w:rsidRDefault="00EE7FAB" w:rsidP="00EE7FAB">
      <w:pPr>
        <w:spacing w:before="120" w:after="120" w:line="360" w:lineRule="auto"/>
        <w:jc w:val="both"/>
        <w:rPr>
          <w:rFonts w:ascii="Arial" w:hAnsi="Arial" w:cs="Arial"/>
          <w:sz w:val="24"/>
          <w:szCs w:val="24"/>
        </w:rPr>
      </w:pPr>
      <w:proofErr w:type="gramStart"/>
      <w:r w:rsidRPr="00CC12FD">
        <w:rPr>
          <w:rFonts w:ascii="Arial" w:hAnsi="Arial" w:cs="Arial"/>
          <w:sz w:val="24"/>
          <w:szCs w:val="24"/>
        </w:rPr>
        <w:t>x</w:t>
      </w:r>
      <w:r w:rsidRPr="00CC12FD">
        <w:rPr>
          <w:rFonts w:ascii="Arial" w:hAnsi="Arial" w:cs="Arial"/>
          <w:sz w:val="24"/>
          <w:szCs w:val="24"/>
          <w:vertAlign w:val="subscript"/>
        </w:rPr>
        <w:t>i</w:t>
      </w:r>
      <w:proofErr w:type="gramEnd"/>
      <w:r w:rsidRPr="00CC12FD">
        <w:rPr>
          <w:rFonts w:ascii="Arial" w:hAnsi="Arial" w:cs="Arial"/>
          <w:sz w:val="24"/>
          <w:szCs w:val="24"/>
        </w:rPr>
        <w:t xml:space="preserve"> è il valore osservato dell’i-esimo indicatore</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µ</w:t>
      </w:r>
      <w:r w:rsidRPr="00CC12FD">
        <w:rPr>
          <w:rFonts w:ascii="Arial" w:hAnsi="Arial" w:cs="Arial"/>
          <w:sz w:val="24"/>
          <w:szCs w:val="24"/>
          <w:vertAlign w:val="subscript"/>
        </w:rPr>
        <w:t>i</w:t>
      </w:r>
      <w:r w:rsidRPr="00CC12FD">
        <w:rPr>
          <w:rFonts w:ascii="Arial" w:hAnsi="Arial" w:cs="Arial"/>
          <w:sz w:val="24"/>
          <w:szCs w:val="24"/>
        </w:rPr>
        <w:t xml:space="preserve"> è la media dell’i-esimo indicatore per la regione di appartenenza o per la macro area di riferimento, del comune </w:t>
      </w:r>
    </w:p>
    <w:p w:rsidR="00EE7FAB" w:rsidRPr="00CC12FD" w:rsidRDefault="00EE7FAB" w:rsidP="00EE7FAB">
      <w:pPr>
        <w:spacing w:before="120" w:after="120" w:line="360" w:lineRule="auto"/>
        <w:jc w:val="both"/>
        <w:rPr>
          <w:rFonts w:ascii="Arial" w:hAnsi="Arial" w:cs="Arial"/>
          <w:sz w:val="24"/>
          <w:szCs w:val="24"/>
        </w:rPr>
      </w:pPr>
      <w:proofErr w:type="spellStart"/>
      <w:proofErr w:type="gramStart"/>
      <w:r w:rsidRPr="00CC12FD">
        <w:rPr>
          <w:rFonts w:ascii="Arial" w:hAnsi="Arial" w:cs="Arial"/>
          <w:sz w:val="24"/>
          <w:szCs w:val="24"/>
        </w:rPr>
        <w:t>σ</w:t>
      </w:r>
      <w:proofErr w:type="gramEnd"/>
      <w:r w:rsidRPr="00CC12FD">
        <w:rPr>
          <w:rFonts w:ascii="Arial" w:hAnsi="Arial" w:cs="Arial"/>
          <w:sz w:val="24"/>
          <w:szCs w:val="24"/>
          <w:vertAlign w:val="subscript"/>
        </w:rPr>
        <w:t>i</w:t>
      </w:r>
      <w:proofErr w:type="spellEnd"/>
      <w:r w:rsidRPr="00CC12FD">
        <w:rPr>
          <w:rFonts w:ascii="Arial" w:hAnsi="Arial" w:cs="Arial"/>
          <w:sz w:val="24"/>
          <w:szCs w:val="24"/>
        </w:rPr>
        <w:t xml:space="preserve"> è lo scarto quadratico medio dell’i-esimo indicatore avendo come riferimento la media regionale o quella della macro area di riferimento</w: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Infine, l’ID-SENTIERI per ciascun comune è risultato dalla sommatoria dei punteggi Z dei quattro indicatori semplici:</w:t>
      </w:r>
    </w:p>
    <w:p w:rsidR="00EE7FAB" w:rsidRPr="00CC12FD" w:rsidRDefault="00EE7FAB" w:rsidP="00EE7FAB">
      <w:pPr>
        <w:spacing w:before="120" w:after="120" w:line="360" w:lineRule="auto"/>
        <w:jc w:val="both"/>
        <w:rPr>
          <w:rFonts w:ascii="Arial" w:hAnsi="Arial" w:cs="Arial"/>
          <w:sz w:val="24"/>
          <w:szCs w:val="24"/>
        </w:rPr>
      </w:pPr>
      <w:r w:rsidRPr="00CC12FD">
        <w:rPr>
          <w:rFonts w:eastAsia="Times New Roman"/>
          <w:sz w:val="24"/>
          <w:szCs w:val="24"/>
          <w:lang w:eastAsia="it-IT"/>
        </w:rPr>
        <w:object w:dxaOrig="1060" w:dyaOrig="680">
          <v:shape id="_x0000_i1031" type="#_x0000_t75" style="width:53.25pt;height:33.75pt" o:ole="">
            <v:imagedata r:id="rId28" o:title=""/>
          </v:shape>
          <o:OLEObject Type="Embed" ProgID="Equation.3" ShapeID="_x0000_i1031" DrawAspect="Content" ObjectID="_1505911266" r:id="rId29"/>
        </w:object>
      </w:r>
    </w:p>
    <w:p w:rsidR="00EE7FAB" w:rsidRPr="00CC12FD"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xml:space="preserve"> Per il calcolo degli indicatori di rischio corretti per ID-SENTIERI si è proceduto come segue. Ad ogni comune è stata attribuita l’appartenenza ad un quintile di deprivazione definito in base alla distribuzione del valore dell’indice dei comuni della stessa regione o della macro area di riferimento. I casi attesi per ogni causa in ciascun comune sono stati calcolati utilizzando i tassi di riferimento sesso, età e causa-specifici dell’insieme dei comuni della stessa regione o della macro area di riferimento appartenenti alla medesima classe di deprivazione. I casi attesi in ogni SIN sono il risultato della sommatoria dei casi attesi calcolati separatamente per ciascun comune del SIN. </w:t>
      </w:r>
    </w:p>
    <w:p w:rsidR="00D660FC" w:rsidRDefault="00EE7FAB" w:rsidP="00EE7FAB">
      <w:pPr>
        <w:spacing w:before="120" w:after="120" w:line="360" w:lineRule="auto"/>
        <w:jc w:val="both"/>
        <w:rPr>
          <w:rFonts w:ascii="Arial" w:hAnsi="Arial" w:cs="Arial"/>
          <w:sz w:val="24"/>
          <w:szCs w:val="24"/>
        </w:rPr>
      </w:pPr>
      <w:r w:rsidRPr="00CC12FD">
        <w:rPr>
          <w:rFonts w:ascii="Arial" w:hAnsi="Arial" w:cs="Arial"/>
          <w:sz w:val="24"/>
          <w:szCs w:val="24"/>
        </w:rPr>
        <w:t xml:space="preserve">Per una discussione critica sull’utilizzo degli indici di deprivazione su base comunale si rinvia ad un contributo </w:t>
      </w:r>
      <w:proofErr w:type="gramStart"/>
      <w:r w:rsidRPr="00CC12FD">
        <w:rPr>
          <w:rFonts w:ascii="Arial" w:hAnsi="Arial" w:cs="Arial"/>
          <w:sz w:val="24"/>
          <w:szCs w:val="24"/>
        </w:rPr>
        <w:t xml:space="preserve">specifico </w:t>
      </w:r>
      <w:r w:rsidR="007242A0" w:rsidRPr="00CC12FD">
        <w:rPr>
          <w:rStyle w:val="Rimandonotaapidipagina"/>
          <w:rFonts w:ascii="Arial" w:hAnsi="Arial" w:cs="Arial"/>
          <w:sz w:val="24"/>
          <w:szCs w:val="24"/>
        </w:rPr>
        <w:footnoteReference w:id="9"/>
      </w:r>
      <w:r w:rsidR="007242A0" w:rsidRPr="00CC12FD">
        <w:rPr>
          <w:rFonts w:ascii="Arial" w:hAnsi="Arial" w:cs="Arial"/>
          <w:sz w:val="24"/>
          <w:szCs w:val="24"/>
        </w:rPr>
        <w:t>.</w:t>
      </w:r>
      <w:proofErr w:type="gramEnd"/>
    </w:p>
    <w:p w:rsidR="001852AB" w:rsidRDefault="001852AB" w:rsidP="00EE7FAB">
      <w:pPr>
        <w:spacing w:before="120" w:after="120" w:line="360" w:lineRule="auto"/>
        <w:jc w:val="both"/>
        <w:rPr>
          <w:rFonts w:ascii="Arial" w:hAnsi="Arial" w:cs="Arial"/>
          <w:sz w:val="24"/>
          <w:szCs w:val="24"/>
        </w:rPr>
      </w:pPr>
    </w:p>
    <w:p w:rsidR="001852AB" w:rsidRDefault="001852AB" w:rsidP="00EE7FAB">
      <w:pPr>
        <w:spacing w:before="120" w:after="120" w:line="360" w:lineRule="auto"/>
        <w:jc w:val="both"/>
        <w:rPr>
          <w:rFonts w:ascii="Arial" w:hAnsi="Arial" w:cs="Arial"/>
          <w:sz w:val="24"/>
          <w:szCs w:val="24"/>
        </w:rPr>
      </w:pPr>
    </w:p>
    <w:p w:rsidR="001852AB" w:rsidRDefault="001852AB" w:rsidP="00EE7FAB">
      <w:pPr>
        <w:spacing w:before="120" w:after="120" w:line="360" w:lineRule="auto"/>
        <w:jc w:val="both"/>
        <w:rPr>
          <w:rFonts w:ascii="Arial" w:hAnsi="Arial" w:cs="Arial"/>
          <w:sz w:val="24"/>
          <w:szCs w:val="24"/>
        </w:rPr>
      </w:pPr>
    </w:p>
    <w:p w:rsidR="001852AB" w:rsidRPr="00CC12FD" w:rsidRDefault="001852AB" w:rsidP="00EE7FAB">
      <w:pPr>
        <w:spacing w:before="120" w:after="120" w:line="360" w:lineRule="auto"/>
        <w:jc w:val="both"/>
        <w:rPr>
          <w:rFonts w:ascii="Arial" w:hAnsi="Arial" w:cs="Arial"/>
          <w:sz w:val="24"/>
          <w:szCs w:val="24"/>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393DB1" w:rsidRDefault="00393DB1" w:rsidP="008045C4">
      <w:pPr>
        <w:jc w:val="center"/>
        <w:rPr>
          <w:rFonts w:ascii="Arial" w:hAnsi="Arial" w:cs="Arial"/>
          <w:b/>
          <w:sz w:val="18"/>
          <w:szCs w:val="18"/>
        </w:rPr>
      </w:pPr>
    </w:p>
    <w:p w:rsidR="008045C4" w:rsidRDefault="008045C4" w:rsidP="008045C4">
      <w:pPr>
        <w:jc w:val="center"/>
        <w:rPr>
          <w:rFonts w:ascii="Arial" w:hAnsi="Arial" w:cs="Arial"/>
          <w:b/>
          <w:sz w:val="18"/>
          <w:szCs w:val="18"/>
        </w:rPr>
      </w:pPr>
      <w:r w:rsidRPr="008045C4">
        <w:rPr>
          <w:rFonts w:ascii="Arial" w:hAnsi="Arial" w:cs="Arial"/>
          <w:b/>
          <w:sz w:val="18"/>
          <w:szCs w:val="18"/>
        </w:rPr>
        <w:t>Tabella 1. Cause di morte analizzate – tutte le età</w:t>
      </w:r>
    </w:p>
    <w:p w:rsidR="0035391F" w:rsidRPr="008045C4" w:rsidRDefault="0035391F" w:rsidP="008045C4">
      <w:pPr>
        <w:jc w:val="center"/>
        <w:rPr>
          <w:rFonts w:ascii="Arial" w:hAnsi="Arial" w:cs="Arial"/>
          <w:b/>
          <w:sz w:val="18"/>
          <w:szCs w:val="18"/>
        </w:rPr>
      </w:pPr>
    </w:p>
    <w:tbl>
      <w:tblPr>
        <w:tblStyle w:val="Sfondomedio1-Colore11"/>
        <w:tblW w:w="5000" w:type="pct"/>
        <w:jc w:val="center"/>
        <w:tblLook w:val="04A0" w:firstRow="1" w:lastRow="0" w:firstColumn="1" w:lastColumn="0" w:noHBand="0" w:noVBand="1"/>
      </w:tblPr>
      <w:tblGrid>
        <w:gridCol w:w="6263"/>
        <w:gridCol w:w="3606"/>
      </w:tblGrid>
      <w:tr w:rsidR="00C336C2" w:rsidRPr="00C336C2" w:rsidTr="00F4318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noWrap/>
            <w:vAlign w:val="center"/>
            <w:hideMark/>
          </w:tcPr>
          <w:p w:rsidR="00C336C2" w:rsidRPr="00C336C2" w:rsidRDefault="00C336C2" w:rsidP="00C336C2">
            <w:pPr>
              <w:jc w:val="both"/>
              <w:rPr>
                <w:rFonts w:ascii="Arial" w:hAnsi="Arial" w:cs="Arial"/>
                <w:color w:val="auto"/>
                <w:sz w:val="18"/>
                <w:szCs w:val="18"/>
              </w:rPr>
            </w:pPr>
            <w:r w:rsidRPr="00C336C2">
              <w:rPr>
                <w:rFonts w:ascii="Arial" w:hAnsi="Arial" w:cs="Arial"/>
                <w:color w:val="auto"/>
                <w:sz w:val="18"/>
                <w:szCs w:val="18"/>
              </w:rPr>
              <w:t>Causa di morte</w:t>
            </w:r>
          </w:p>
        </w:tc>
        <w:tc>
          <w:tcPr>
            <w:tcW w:w="1827" w:type="pct"/>
            <w:noWrap/>
            <w:vAlign w:val="center"/>
            <w:hideMark/>
          </w:tcPr>
          <w:p w:rsidR="00C336C2" w:rsidRPr="00C336C2" w:rsidRDefault="00C336C2" w:rsidP="00F431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C336C2">
              <w:rPr>
                <w:rFonts w:ascii="Arial" w:hAnsi="Arial" w:cs="Arial"/>
                <w:color w:val="auto"/>
                <w:sz w:val="18"/>
                <w:szCs w:val="18"/>
              </w:rPr>
              <w:t>ICD-10</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MORTALITA' GENERALE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A00-T98</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infettive e parassitarie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A00- B99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Tubercolosi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A15-A</w:t>
            </w:r>
            <w:proofErr w:type="gramStart"/>
            <w:r w:rsidRPr="00C336C2">
              <w:rPr>
                <w:rFonts w:ascii="Arial" w:hAnsi="Arial" w:cs="Arial"/>
                <w:sz w:val="18"/>
                <w:szCs w:val="18"/>
              </w:rPr>
              <w:t>19,B</w:t>
            </w:r>
            <w:proofErr w:type="gramEnd"/>
            <w:r w:rsidRPr="00C336C2">
              <w:rPr>
                <w:rFonts w:ascii="Arial" w:hAnsi="Arial" w:cs="Arial"/>
                <w:sz w:val="18"/>
                <w:szCs w:val="18"/>
              </w:rPr>
              <w:t>90</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Epatite virale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B15 -B19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Tutti i Tumori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C00-D48</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dell'esofago</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C15</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dello stomaco</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C16</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colon-retto</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C18-C21</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primitivo del fegato e dei dotti biliari intraepatici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C22</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pancreas</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C25</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della laringe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C32</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della trachea, dei bronchi e del polmone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C33-C34</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xml:space="preserve">      Mesotelioma della pleura </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C450</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connettivo e di altri tessuti molli</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C49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Melanoma della pelle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C43</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della mammella (F)</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C50</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dell'utero (F)</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C53-C55</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dell'ovaio e degli altri annessi uterini (F)</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C56-C57</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della prostata (M)</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C61</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testicolo (M)</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C62</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della vescica</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C67</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rene e di altri non specificati organi urinari</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w:t>
            </w:r>
            <w:proofErr w:type="gramStart"/>
            <w:r w:rsidRPr="00C336C2">
              <w:rPr>
                <w:rFonts w:ascii="Arial" w:hAnsi="Arial" w:cs="Arial"/>
                <w:sz w:val="18"/>
                <w:szCs w:val="18"/>
              </w:rPr>
              <w:t>64,C</w:t>
            </w:r>
            <w:proofErr w:type="gramEnd"/>
            <w:r w:rsidRPr="00C336C2">
              <w:rPr>
                <w:rFonts w:ascii="Arial" w:hAnsi="Arial" w:cs="Arial"/>
                <w:sz w:val="18"/>
                <w:szCs w:val="18"/>
              </w:rPr>
              <w:t>66,C68</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Tumore del sistema nervoso centrale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C70-C</w:t>
            </w:r>
            <w:proofErr w:type="gramStart"/>
            <w:r w:rsidRPr="00C336C2">
              <w:rPr>
                <w:rFonts w:ascii="Arial" w:hAnsi="Arial" w:cs="Arial"/>
                <w:sz w:val="18"/>
                <w:szCs w:val="18"/>
              </w:rPr>
              <w:t>72,D</w:t>
            </w:r>
            <w:proofErr w:type="gramEnd"/>
            <w:r w:rsidRPr="00C336C2">
              <w:rPr>
                <w:rFonts w:ascii="Arial" w:hAnsi="Arial" w:cs="Arial"/>
                <w:sz w:val="18"/>
                <w:szCs w:val="18"/>
              </w:rPr>
              <w:t>33</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xml:space="preserve">      Tumore del sistema </w:t>
            </w:r>
            <w:proofErr w:type="spellStart"/>
            <w:r w:rsidRPr="00C336C2">
              <w:rPr>
                <w:rFonts w:ascii="Arial" w:hAnsi="Arial" w:cs="Arial"/>
                <w:sz w:val="18"/>
                <w:szCs w:val="18"/>
              </w:rPr>
              <w:t>linfoematopoietico</w:t>
            </w:r>
            <w:proofErr w:type="spellEnd"/>
            <w:r w:rsidRPr="00C336C2">
              <w:rPr>
                <w:rFonts w:ascii="Arial" w:hAnsi="Arial" w:cs="Arial"/>
                <w:sz w:val="18"/>
                <w:szCs w:val="18"/>
              </w:rPr>
              <w:t xml:space="preserve"> totale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C81-C96</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xml:space="preserve">             Linfomi non </w:t>
            </w:r>
            <w:proofErr w:type="spellStart"/>
            <w:r w:rsidRPr="00C336C2">
              <w:rPr>
                <w:rFonts w:ascii="Arial" w:hAnsi="Arial" w:cs="Arial"/>
                <w:sz w:val="18"/>
                <w:szCs w:val="18"/>
              </w:rPr>
              <w:t>Hodgkin</w:t>
            </w:r>
            <w:proofErr w:type="spellEnd"/>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C82-C85</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xml:space="preserve">             Malattia di </w:t>
            </w:r>
            <w:proofErr w:type="spellStart"/>
            <w:r w:rsidRPr="00C336C2">
              <w:rPr>
                <w:rFonts w:ascii="Arial" w:hAnsi="Arial" w:cs="Arial"/>
                <w:sz w:val="18"/>
                <w:szCs w:val="18"/>
              </w:rPr>
              <w:t>Hodgkin</w:t>
            </w:r>
            <w:proofErr w:type="spellEnd"/>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C81</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Mieloma multiplo e tumori immunoproliferativi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w:t>
            </w:r>
            <w:proofErr w:type="gramStart"/>
            <w:r w:rsidRPr="00C336C2">
              <w:rPr>
                <w:rFonts w:ascii="Arial" w:hAnsi="Arial" w:cs="Arial"/>
                <w:sz w:val="18"/>
                <w:szCs w:val="18"/>
              </w:rPr>
              <w:t>88,C</w:t>
            </w:r>
            <w:proofErr w:type="gramEnd"/>
            <w:r w:rsidRPr="00C336C2">
              <w:rPr>
                <w:rFonts w:ascii="Arial" w:hAnsi="Arial" w:cs="Arial"/>
                <w:sz w:val="18"/>
                <w:szCs w:val="18"/>
              </w:rPr>
              <w:t>90</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Leucemie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C91-C95</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Leucemia linfoide (acuta e cronica)</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C91</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Leucemia mieloide (acuta e cronica)</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C92</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Diabete Mellito</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E10-E14</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Demenze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F00-F</w:t>
            </w:r>
            <w:proofErr w:type="gramStart"/>
            <w:r w:rsidRPr="00C336C2">
              <w:rPr>
                <w:rFonts w:ascii="Arial" w:hAnsi="Arial" w:cs="Arial"/>
                <w:sz w:val="18"/>
                <w:szCs w:val="18"/>
              </w:rPr>
              <w:t>01,F</w:t>
            </w:r>
            <w:proofErr w:type="gramEnd"/>
            <w:r w:rsidRPr="00C336C2">
              <w:rPr>
                <w:rFonts w:ascii="Arial" w:hAnsi="Arial" w:cs="Arial"/>
                <w:sz w:val="18"/>
                <w:szCs w:val="18"/>
              </w:rPr>
              <w:t>020-F023,F03,G30,G310</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Morbo di Parkinson</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G20-G22</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Malattia dei neuroni motori</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G122</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Sclerosi multipla</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G35</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Epilessia</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G40-G41</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Neuropatie tossiche e infiammatorie non specificate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G629</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del sistema circolatorio</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I00-I99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Malattia ipertensiva</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I10-I15</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Malattie ischemiche del cuore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I20-I25</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Infarto miocardico acuto</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I21-I22</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cerebrovascolari</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I60-I69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apparato respiratorio</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J00-J99</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Malattie respiratorie acute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J00-J</w:t>
            </w:r>
            <w:proofErr w:type="gramStart"/>
            <w:r w:rsidRPr="00C336C2">
              <w:rPr>
                <w:rFonts w:ascii="Arial" w:hAnsi="Arial" w:cs="Arial"/>
                <w:sz w:val="18"/>
                <w:szCs w:val="18"/>
              </w:rPr>
              <w:t>06,J</w:t>
            </w:r>
            <w:proofErr w:type="gramEnd"/>
            <w:r w:rsidRPr="00C336C2">
              <w:rPr>
                <w:rFonts w:ascii="Arial" w:hAnsi="Arial" w:cs="Arial"/>
                <w:sz w:val="18"/>
                <w:szCs w:val="18"/>
              </w:rPr>
              <w:t>10-J18,J20-J22</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Malattie polmonari croniche</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J41-J</w:t>
            </w:r>
            <w:proofErr w:type="gramStart"/>
            <w:r w:rsidRPr="00C336C2">
              <w:rPr>
                <w:rFonts w:ascii="Arial" w:hAnsi="Arial" w:cs="Arial"/>
                <w:sz w:val="18"/>
                <w:szCs w:val="18"/>
              </w:rPr>
              <w:t>44,J</w:t>
            </w:r>
            <w:proofErr w:type="gramEnd"/>
            <w:r w:rsidRPr="00C336C2">
              <w:rPr>
                <w:rFonts w:ascii="Arial" w:hAnsi="Arial" w:cs="Arial"/>
                <w:sz w:val="18"/>
                <w:szCs w:val="18"/>
              </w:rPr>
              <w:t>47</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Asma</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J45-J46</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Pneumoconiosi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J60-J64</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dell'apparato digerente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K00-K93</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Cirrosi e altre malattie croniche del fegato</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K</w:t>
            </w:r>
            <w:proofErr w:type="gramStart"/>
            <w:r w:rsidRPr="00C336C2">
              <w:rPr>
                <w:rFonts w:ascii="Arial" w:hAnsi="Arial" w:cs="Arial"/>
                <w:sz w:val="18"/>
                <w:szCs w:val="18"/>
              </w:rPr>
              <w:t>70,K</w:t>
            </w:r>
            <w:proofErr w:type="gramEnd"/>
            <w:r w:rsidRPr="00C336C2">
              <w:rPr>
                <w:rFonts w:ascii="Arial" w:hAnsi="Arial" w:cs="Arial"/>
                <w:sz w:val="18"/>
                <w:szCs w:val="18"/>
              </w:rPr>
              <w:t>73-K74</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Malattie dell'apparato genitourinario</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N00-N99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Nefrosi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N00-N07</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      Insufficienza renale acuta e cronica</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N17-N19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tcPr>
          <w:p w:rsidR="00C336C2" w:rsidRPr="00C336C2" w:rsidRDefault="00C336C2" w:rsidP="00C336C2">
            <w:pPr>
              <w:jc w:val="both"/>
              <w:rPr>
                <w:rFonts w:ascii="Arial" w:hAnsi="Arial" w:cs="Arial"/>
                <w:sz w:val="18"/>
                <w:szCs w:val="18"/>
              </w:rPr>
            </w:pPr>
            <w:r w:rsidRPr="00C336C2">
              <w:rPr>
                <w:rFonts w:ascii="Arial" w:hAnsi="Arial" w:cs="Arial"/>
                <w:sz w:val="18"/>
                <w:szCs w:val="18"/>
              </w:rPr>
              <w:t>Alcune condizioni morbose di origine perinatale</w:t>
            </w:r>
          </w:p>
        </w:tc>
        <w:tc>
          <w:tcPr>
            <w:tcW w:w="1827" w:type="pct"/>
            <w:vAlign w:val="center"/>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P00-P96</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Malformazioni congenite</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Q00-Q99</w:t>
            </w:r>
          </w:p>
        </w:tc>
      </w:tr>
      <w:tr w:rsidR="00C336C2"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Sintomi, segni e stati morbosi mal definiti</w:t>
            </w:r>
          </w:p>
        </w:tc>
        <w:tc>
          <w:tcPr>
            <w:tcW w:w="1827" w:type="pct"/>
            <w:vAlign w:val="center"/>
            <w:hideMark/>
          </w:tcPr>
          <w:p w:rsidR="00C336C2" w:rsidRPr="00C336C2" w:rsidRDefault="00C336C2"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R00-R99</w:t>
            </w:r>
          </w:p>
        </w:tc>
      </w:tr>
      <w:tr w:rsidR="00C336C2"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73" w:type="pct"/>
            <w:vAlign w:val="center"/>
            <w:hideMark/>
          </w:tcPr>
          <w:p w:rsidR="00C336C2" w:rsidRPr="00C336C2" w:rsidRDefault="00C336C2" w:rsidP="00C336C2">
            <w:pPr>
              <w:jc w:val="both"/>
              <w:rPr>
                <w:rFonts w:ascii="Arial" w:hAnsi="Arial" w:cs="Arial"/>
                <w:sz w:val="18"/>
                <w:szCs w:val="18"/>
              </w:rPr>
            </w:pPr>
            <w:r w:rsidRPr="00C336C2">
              <w:rPr>
                <w:rFonts w:ascii="Arial" w:hAnsi="Arial" w:cs="Arial"/>
                <w:sz w:val="18"/>
                <w:szCs w:val="18"/>
              </w:rPr>
              <w:t>Traumatismi e avvelenamenti</w:t>
            </w:r>
          </w:p>
        </w:tc>
        <w:tc>
          <w:tcPr>
            <w:tcW w:w="1827" w:type="pct"/>
            <w:vAlign w:val="center"/>
            <w:hideMark/>
          </w:tcPr>
          <w:p w:rsidR="00C336C2" w:rsidRPr="00C336C2" w:rsidRDefault="00C336C2"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V01-Y89</w:t>
            </w:r>
          </w:p>
        </w:tc>
      </w:tr>
    </w:tbl>
    <w:p w:rsidR="008045C4" w:rsidRDefault="008045C4" w:rsidP="00C336C2">
      <w:pPr>
        <w:jc w:val="both"/>
        <w:rPr>
          <w:rFonts w:ascii="Arial" w:hAnsi="Arial" w:cs="Arial"/>
          <w:sz w:val="18"/>
          <w:szCs w:val="18"/>
        </w:rPr>
      </w:pPr>
    </w:p>
    <w:p w:rsidR="008045C4" w:rsidRPr="008045C4" w:rsidRDefault="00D660FC" w:rsidP="008045C4">
      <w:pPr>
        <w:jc w:val="center"/>
        <w:rPr>
          <w:rFonts w:ascii="Arial" w:hAnsi="Arial" w:cs="Arial"/>
          <w:b/>
          <w:sz w:val="18"/>
          <w:szCs w:val="18"/>
        </w:rPr>
      </w:pPr>
      <w:r>
        <w:rPr>
          <w:rFonts w:ascii="Arial" w:hAnsi="Arial" w:cs="Arial"/>
          <w:b/>
          <w:sz w:val="18"/>
          <w:szCs w:val="18"/>
        </w:rPr>
        <w:br w:type="column"/>
      </w:r>
      <w:r w:rsidR="008045C4">
        <w:rPr>
          <w:rFonts w:ascii="Arial" w:hAnsi="Arial" w:cs="Arial"/>
          <w:b/>
          <w:sz w:val="18"/>
          <w:szCs w:val="18"/>
        </w:rPr>
        <w:lastRenderedPageBreak/>
        <w:t>Tabella 2</w:t>
      </w:r>
      <w:r w:rsidR="008045C4" w:rsidRPr="008045C4">
        <w:rPr>
          <w:rFonts w:ascii="Arial" w:hAnsi="Arial" w:cs="Arial"/>
          <w:b/>
          <w:sz w:val="18"/>
          <w:szCs w:val="18"/>
        </w:rPr>
        <w:t>. Cause di morte analizzate –</w:t>
      </w:r>
      <w:r w:rsidR="008045C4">
        <w:rPr>
          <w:rFonts w:ascii="Arial" w:hAnsi="Arial" w:cs="Arial"/>
          <w:b/>
          <w:sz w:val="18"/>
          <w:szCs w:val="18"/>
        </w:rPr>
        <w:t xml:space="preserve"> </w:t>
      </w:r>
      <w:r w:rsidR="008045C4" w:rsidRPr="008045C4">
        <w:rPr>
          <w:rFonts w:ascii="Arial" w:hAnsi="Arial" w:cs="Arial"/>
          <w:b/>
          <w:sz w:val="18"/>
          <w:szCs w:val="18"/>
        </w:rPr>
        <w:t>età</w:t>
      </w:r>
      <w:r w:rsidR="008045C4">
        <w:rPr>
          <w:rFonts w:ascii="Arial" w:hAnsi="Arial" w:cs="Arial"/>
          <w:b/>
          <w:sz w:val="18"/>
          <w:szCs w:val="18"/>
        </w:rPr>
        <w:t>: 0-14</w:t>
      </w:r>
    </w:p>
    <w:p w:rsidR="00C336C2" w:rsidRPr="00C336C2" w:rsidRDefault="00C336C2" w:rsidP="00C336C2">
      <w:pPr>
        <w:jc w:val="both"/>
        <w:rPr>
          <w:rFonts w:ascii="Arial" w:hAnsi="Arial" w:cs="Arial"/>
          <w:sz w:val="18"/>
          <w:szCs w:val="18"/>
        </w:rPr>
      </w:pPr>
    </w:p>
    <w:tbl>
      <w:tblPr>
        <w:tblStyle w:val="Sfondomedio1-Colore11"/>
        <w:tblW w:w="0" w:type="auto"/>
        <w:jc w:val="center"/>
        <w:tblLook w:val="04A0" w:firstRow="1" w:lastRow="0" w:firstColumn="1" w:lastColumn="0" w:noHBand="0" w:noVBand="1"/>
      </w:tblPr>
      <w:tblGrid>
        <w:gridCol w:w="4387"/>
        <w:gridCol w:w="2238"/>
      </w:tblGrid>
      <w:tr w:rsidR="008045C4" w:rsidRPr="00C336C2" w:rsidTr="00F4318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8045C4" w:rsidRPr="00C336C2" w:rsidRDefault="008045C4" w:rsidP="001370EE">
            <w:pPr>
              <w:jc w:val="both"/>
              <w:rPr>
                <w:rFonts w:ascii="Arial" w:hAnsi="Arial" w:cs="Arial"/>
                <w:color w:val="auto"/>
                <w:sz w:val="18"/>
                <w:szCs w:val="18"/>
              </w:rPr>
            </w:pPr>
            <w:r w:rsidRPr="00C336C2">
              <w:rPr>
                <w:rFonts w:ascii="Arial" w:hAnsi="Arial" w:cs="Arial"/>
                <w:color w:val="auto"/>
                <w:sz w:val="18"/>
                <w:szCs w:val="18"/>
              </w:rPr>
              <w:t>Causa di morte</w:t>
            </w:r>
          </w:p>
        </w:tc>
        <w:tc>
          <w:tcPr>
            <w:tcW w:w="0" w:type="auto"/>
            <w:noWrap/>
            <w:vAlign w:val="center"/>
            <w:hideMark/>
          </w:tcPr>
          <w:p w:rsidR="008045C4" w:rsidRPr="00C336C2" w:rsidRDefault="008045C4" w:rsidP="00F4318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C336C2">
              <w:rPr>
                <w:rFonts w:ascii="Arial" w:hAnsi="Arial" w:cs="Arial"/>
                <w:color w:val="auto"/>
                <w:sz w:val="18"/>
                <w:szCs w:val="18"/>
              </w:rPr>
              <w:t>ICD-10</w:t>
            </w:r>
          </w:p>
        </w:tc>
      </w:tr>
      <w:tr w:rsidR="008045C4"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MORTALITA' GENERALE</w:t>
            </w:r>
          </w:p>
        </w:tc>
        <w:tc>
          <w:tcPr>
            <w:tcW w:w="0" w:type="auto"/>
            <w:vAlign w:val="center"/>
            <w:hideMark/>
          </w:tcPr>
          <w:p w:rsidR="008045C4" w:rsidRPr="00C336C2" w:rsidRDefault="008045C4"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A00-T98</w:t>
            </w:r>
          </w:p>
        </w:tc>
      </w:tr>
      <w:tr w:rsidR="008045C4"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Tutti i Tumori</w:t>
            </w:r>
          </w:p>
        </w:tc>
        <w:tc>
          <w:tcPr>
            <w:tcW w:w="0" w:type="auto"/>
            <w:vAlign w:val="center"/>
            <w:hideMark/>
          </w:tcPr>
          <w:p w:rsidR="008045C4" w:rsidRPr="00C336C2" w:rsidRDefault="008045C4"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C00-D48</w:t>
            </w:r>
          </w:p>
        </w:tc>
      </w:tr>
      <w:tr w:rsidR="008045C4"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      Tumore del sistema nervoso centrale</w:t>
            </w:r>
          </w:p>
        </w:tc>
        <w:tc>
          <w:tcPr>
            <w:tcW w:w="0" w:type="auto"/>
            <w:vAlign w:val="center"/>
            <w:hideMark/>
          </w:tcPr>
          <w:p w:rsidR="008045C4" w:rsidRPr="00C336C2" w:rsidRDefault="008045C4"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C70-C</w:t>
            </w:r>
            <w:proofErr w:type="gramStart"/>
            <w:r w:rsidRPr="00C336C2">
              <w:rPr>
                <w:rFonts w:ascii="Arial" w:hAnsi="Arial" w:cs="Arial"/>
                <w:sz w:val="18"/>
                <w:szCs w:val="18"/>
              </w:rPr>
              <w:t>72,D</w:t>
            </w:r>
            <w:proofErr w:type="gramEnd"/>
            <w:r w:rsidRPr="00C336C2">
              <w:rPr>
                <w:rFonts w:ascii="Arial" w:hAnsi="Arial" w:cs="Arial"/>
                <w:sz w:val="18"/>
                <w:szCs w:val="18"/>
              </w:rPr>
              <w:t>33</w:t>
            </w:r>
          </w:p>
        </w:tc>
      </w:tr>
      <w:tr w:rsidR="008045C4"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 xml:space="preserve">      Tumore del sistema </w:t>
            </w:r>
            <w:proofErr w:type="spellStart"/>
            <w:r w:rsidRPr="00C336C2">
              <w:rPr>
                <w:rFonts w:ascii="Arial" w:hAnsi="Arial" w:cs="Arial"/>
                <w:sz w:val="18"/>
                <w:szCs w:val="18"/>
              </w:rPr>
              <w:t>linfoematopoietico</w:t>
            </w:r>
            <w:proofErr w:type="spellEnd"/>
            <w:r w:rsidRPr="00C336C2">
              <w:rPr>
                <w:rFonts w:ascii="Arial" w:hAnsi="Arial" w:cs="Arial"/>
                <w:sz w:val="18"/>
                <w:szCs w:val="18"/>
              </w:rPr>
              <w:t xml:space="preserve"> totale</w:t>
            </w:r>
          </w:p>
        </w:tc>
        <w:tc>
          <w:tcPr>
            <w:tcW w:w="0" w:type="auto"/>
            <w:vAlign w:val="center"/>
            <w:hideMark/>
          </w:tcPr>
          <w:p w:rsidR="008045C4" w:rsidRPr="00C336C2" w:rsidRDefault="008045C4"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C81-C96</w:t>
            </w:r>
          </w:p>
        </w:tc>
      </w:tr>
      <w:tr w:rsidR="008045C4"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             Leucemie</w:t>
            </w:r>
          </w:p>
        </w:tc>
        <w:tc>
          <w:tcPr>
            <w:tcW w:w="0" w:type="auto"/>
            <w:vAlign w:val="center"/>
            <w:hideMark/>
          </w:tcPr>
          <w:p w:rsidR="008045C4" w:rsidRPr="00C336C2" w:rsidRDefault="008045C4"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C91-C95</w:t>
            </w:r>
          </w:p>
        </w:tc>
      </w:tr>
      <w:tr w:rsidR="00F4318C" w:rsidRPr="00C336C2" w:rsidTr="00F431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      Malattie respiratorie acute</w:t>
            </w:r>
          </w:p>
        </w:tc>
        <w:tc>
          <w:tcPr>
            <w:tcW w:w="0" w:type="auto"/>
            <w:vAlign w:val="center"/>
            <w:hideMark/>
          </w:tcPr>
          <w:p w:rsidR="008045C4" w:rsidRPr="00C336C2" w:rsidRDefault="008045C4" w:rsidP="00F4318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36C2">
              <w:rPr>
                <w:rFonts w:ascii="Arial" w:hAnsi="Arial" w:cs="Arial"/>
                <w:sz w:val="18"/>
                <w:szCs w:val="18"/>
              </w:rPr>
              <w:t>J00-J</w:t>
            </w:r>
            <w:proofErr w:type="gramStart"/>
            <w:r w:rsidRPr="00C336C2">
              <w:rPr>
                <w:rFonts w:ascii="Arial" w:hAnsi="Arial" w:cs="Arial"/>
                <w:sz w:val="18"/>
                <w:szCs w:val="18"/>
              </w:rPr>
              <w:t>06,J</w:t>
            </w:r>
            <w:proofErr w:type="gramEnd"/>
            <w:r w:rsidRPr="00C336C2">
              <w:rPr>
                <w:rFonts w:ascii="Arial" w:hAnsi="Arial" w:cs="Arial"/>
                <w:sz w:val="18"/>
                <w:szCs w:val="18"/>
              </w:rPr>
              <w:t>10-J18,J20-J22</w:t>
            </w:r>
          </w:p>
        </w:tc>
      </w:tr>
      <w:tr w:rsidR="008045C4" w:rsidRPr="00C336C2" w:rsidTr="00F431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045C4" w:rsidRPr="00C336C2" w:rsidRDefault="008045C4" w:rsidP="001370EE">
            <w:pPr>
              <w:jc w:val="both"/>
              <w:rPr>
                <w:rFonts w:ascii="Arial" w:hAnsi="Arial" w:cs="Arial"/>
                <w:sz w:val="18"/>
                <w:szCs w:val="18"/>
              </w:rPr>
            </w:pPr>
            <w:r w:rsidRPr="00C336C2">
              <w:rPr>
                <w:rFonts w:ascii="Arial" w:hAnsi="Arial" w:cs="Arial"/>
                <w:sz w:val="18"/>
                <w:szCs w:val="18"/>
              </w:rPr>
              <w:t>      Asma</w:t>
            </w:r>
          </w:p>
        </w:tc>
        <w:tc>
          <w:tcPr>
            <w:tcW w:w="0" w:type="auto"/>
            <w:vAlign w:val="center"/>
            <w:hideMark/>
          </w:tcPr>
          <w:p w:rsidR="008045C4" w:rsidRPr="00C336C2" w:rsidRDefault="008045C4" w:rsidP="00F431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36C2">
              <w:rPr>
                <w:rFonts w:ascii="Arial" w:hAnsi="Arial" w:cs="Arial"/>
                <w:sz w:val="18"/>
                <w:szCs w:val="18"/>
              </w:rPr>
              <w:t>J45-J46</w:t>
            </w:r>
          </w:p>
        </w:tc>
      </w:tr>
    </w:tbl>
    <w:p w:rsidR="00C336C2" w:rsidRPr="00C336C2" w:rsidRDefault="00C336C2" w:rsidP="00C336C2">
      <w:pPr>
        <w:jc w:val="both"/>
        <w:rPr>
          <w:rFonts w:ascii="Arial" w:hAnsi="Arial" w:cs="Arial"/>
          <w:sz w:val="18"/>
          <w:szCs w:val="18"/>
        </w:rPr>
      </w:pPr>
    </w:p>
    <w:p w:rsidR="008B520C" w:rsidRDefault="008B520C" w:rsidP="0075497B">
      <w:pPr>
        <w:jc w:val="both"/>
        <w:rPr>
          <w:rFonts w:ascii="Arial" w:hAnsi="Arial" w:cs="Arial"/>
          <w:sz w:val="18"/>
          <w:szCs w:val="18"/>
        </w:rPr>
      </w:pPr>
    </w:p>
    <w:p w:rsidR="009F6A31" w:rsidRDefault="002F0C11" w:rsidP="00A318B4">
      <w:pPr>
        <w:pStyle w:val="Titolo3"/>
      </w:pPr>
      <w:bookmarkStart w:id="11" w:name="_Toc409780585"/>
      <w:r>
        <w:t>Distinzione per genere</w:t>
      </w:r>
      <w:bookmarkEnd w:id="11"/>
      <w:r>
        <w:t xml:space="preserve"> </w:t>
      </w:r>
    </w:p>
    <w:p w:rsidR="003738AD" w:rsidRPr="00CC12FD" w:rsidRDefault="002F0C11" w:rsidP="003F0AD5">
      <w:pPr>
        <w:spacing w:before="120" w:after="120" w:line="360" w:lineRule="auto"/>
        <w:jc w:val="both"/>
        <w:rPr>
          <w:rFonts w:ascii="Arial" w:hAnsi="Arial" w:cs="Arial"/>
          <w:sz w:val="24"/>
          <w:szCs w:val="24"/>
        </w:rPr>
      </w:pPr>
      <w:r w:rsidRPr="00CC12FD">
        <w:rPr>
          <w:rFonts w:ascii="Arial" w:hAnsi="Arial" w:cs="Arial"/>
          <w:sz w:val="24"/>
          <w:szCs w:val="24"/>
        </w:rPr>
        <w:t xml:space="preserve">Studiando la mortalità nella popolazione di tutte le età è stata effettuata una </w:t>
      </w:r>
      <w:proofErr w:type="spellStart"/>
      <w:r w:rsidRPr="00CC12FD">
        <w:rPr>
          <w:rFonts w:ascii="Arial" w:hAnsi="Arial" w:cs="Arial"/>
          <w:sz w:val="24"/>
          <w:szCs w:val="24"/>
        </w:rPr>
        <w:t>distizione</w:t>
      </w:r>
      <w:proofErr w:type="spellEnd"/>
      <w:r w:rsidRPr="00CC12FD">
        <w:rPr>
          <w:rFonts w:ascii="Arial" w:hAnsi="Arial" w:cs="Arial"/>
          <w:sz w:val="24"/>
          <w:szCs w:val="24"/>
        </w:rPr>
        <w:t xml:space="preserve"> per genere, che invece non è informativa per l’età pediatrica, i cui risultati si riferiscono pertanto a maschi e femmine insieme.</w:t>
      </w:r>
    </w:p>
    <w:p w:rsidR="002F0C11" w:rsidRDefault="003738AD" w:rsidP="003738AD">
      <w:pPr>
        <w:pStyle w:val="Titolo2"/>
      </w:pPr>
      <w:r>
        <w:br w:type="column"/>
      </w:r>
      <w:bookmarkStart w:id="12" w:name="_Toc409780586"/>
      <w:r>
        <w:lastRenderedPageBreak/>
        <w:t>Schede di Dimissione Ospedaliera (SDO)</w:t>
      </w:r>
      <w:bookmarkEnd w:id="12"/>
    </w:p>
    <w:p w:rsidR="00910179" w:rsidRDefault="00910179" w:rsidP="00BE3895">
      <w:pPr>
        <w:pStyle w:val="Titolo3"/>
      </w:pPr>
      <w:bookmarkStart w:id="13" w:name="_Toc379880213"/>
      <w:bookmarkStart w:id="14" w:name="_Toc409780587"/>
      <w:r>
        <w:t>La base di dati</w:t>
      </w:r>
      <w:bookmarkEnd w:id="13"/>
      <w:bookmarkEnd w:id="14"/>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La base di dati utilizzata è quella nazionale delle Schede di Dimissione Ospedaliera (SDO) disponibile presso l’Ufficio di Statistica </w:t>
      </w:r>
      <w:proofErr w:type="gramStart"/>
      <w:r w:rsidRPr="00CC12FD">
        <w:rPr>
          <w:rFonts w:ascii="Arial" w:hAnsi="Arial" w:cs="Arial"/>
          <w:sz w:val="24"/>
          <w:szCs w:val="24"/>
        </w:rPr>
        <w:t>dell’ISS,  fornita</w:t>
      </w:r>
      <w:proofErr w:type="gramEnd"/>
      <w:r w:rsidRPr="00CC12FD">
        <w:rPr>
          <w:rFonts w:ascii="Arial" w:hAnsi="Arial" w:cs="Arial"/>
          <w:sz w:val="24"/>
          <w:szCs w:val="24"/>
        </w:rPr>
        <w:t xml:space="preserve"> dal Ministero della Salute.</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La scheda di dimissione ospedaliera (SDO) è lo strumento di raccolta delle informazioni relative ad ogni paziente dimesso dagli istituti di ricovero pubblici e privati in tutto il territorio nazionale.</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Le SDO sono compilate dai medici che hanno avuto in cura il paziente ricoverato; le informazioni raccolte e codificate sono trasmesse alle Regioni e da queste al Ministero della Salute.</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Nel database nazionale delle SDO è riportato un codice anonimo univoco che consente di seguire gli accessi ospedalieri per ogni paziente in tutto il territorio nazionale e per tutti gli anni a disposizione, la cui qualità è molto alta negli anni in esame.</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t>La SDO è stata istituita a livello nazionale con il Decreto Ministeriale del 28/12/1991 (GU 17/1/92); successivi decreti del ’93 e del ’94 la individuano come il supporto informativo su cui si basa il finanziamento dell’attività di ricovero. A far data dal 1 gennaio 2001, la nuova disciplina della SDO è stabilita dal decreto ministeriale 27 ottobre 2000, n. 380; con il Decreto del Ministero della Salute del 08 luglio 2010</w:t>
      </w:r>
      <w:r w:rsidR="00BB2DA1">
        <w:rPr>
          <w:rFonts w:ascii="Arial" w:hAnsi="Arial" w:cs="Arial"/>
          <w:sz w:val="24"/>
          <w:szCs w:val="24"/>
        </w:rPr>
        <w:t xml:space="preserve">, n. 135 </w:t>
      </w:r>
      <w:r w:rsidRPr="00CC12FD">
        <w:rPr>
          <w:rFonts w:ascii="Arial" w:hAnsi="Arial" w:cs="Arial"/>
          <w:sz w:val="24"/>
          <w:szCs w:val="24"/>
        </w:rPr>
        <w:t xml:space="preserve">è </w:t>
      </w:r>
      <w:r w:rsidR="00BB2DA1">
        <w:rPr>
          <w:rFonts w:ascii="Arial" w:hAnsi="Arial" w:cs="Arial"/>
          <w:sz w:val="24"/>
          <w:szCs w:val="24"/>
        </w:rPr>
        <w:t xml:space="preserve">stato </w:t>
      </w:r>
      <w:r w:rsidRPr="00CC12FD">
        <w:rPr>
          <w:rFonts w:ascii="Arial" w:hAnsi="Arial" w:cs="Arial"/>
          <w:sz w:val="24"/>
          <w:szCs w:val="24"/>
        </w:rPr>
        <w:t>emanato un regolamento recante integrazione delle informazioni relative alla scheda di dimissione ospedaliera.</w:t>
      </w:r>
    </w:p>
    <w:p w:rsidR="00CC12FD" w:rsidRDefault="00D9216F"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La scheda di dimissione è raccolta obbligatoriamente sia in caso di ricovero ordinario sia in caso di </w:t>
      </w:r>
      <w:proofErr w:type="spellStart"/>
      <w:r w:rsidRPr="00CC12FD">
        <w:rPr>
          <w:rFonts w:ascii="Arial" w:hAnsi="Arial" w:cs="Arial"/>
          <w:sz w:val="24"/>
          <w:szCs w:val="24"/>
        </w:rPr>
        <w:t>day</w:t>
      </w:r>
      <w:proofErr w:type="spellEnd"/>
      <w:r w:rsidRPr="00CC12FD">
        <w:rPr>
          <w:rFonts w:ascii="Arial" w:hAnsi="Arial" w:cs="Arial"/>
          <w:sz w:val="24"/>
          <w:szCs w:val="24"/>
        </w:rPr>
        <w:t xml:space="preserve"> hospital. Essa non si applica, invece, all’attività ambulatoriale né alle strutture socio-assistenziali (salvo diverse disposizioni delle Regioni). Le informazioni raccolte descrivono sia aspetti clinici del ricovero (diagnosi e sintomi rilevanti, interventi chirurgici, procedure diagnostico-terapeutiche, impianto di protesi, modalità di dimissione) sia organizzativi (ad esempio: unità operativa di ammissione e di dimissione, trasferimenti interni, soggetto che sostiene i costi del ricovero).</w:t>
      </w:r>
    </w:p>
    <w:p w:rsidR="00D9216F" w:rsidRPr="00CC12FD" w:rsidRDefault="00D9216F"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Di tali informazioni, un numero più ristretto, indispensabile alle attività di indirizzo e monitoraggio nazionale, viene trasmesso dalle Regioni al Ministero della salute. Dalla scheda di dimissione sono escluse informazioni relative ai farmaci somministrati durante il ricovero o le reazioni avverse ad essi (oggetto di altre specifici flussi informativi). In ogni caso, le Regioni, </w:t>
      </w:r>
      <w:r w:rsidRPr="00CC12FD">
        <w:rPr>
          <w:rFonts w:ascii="Arial" w:hAnsi="Arial" w:cs="Arial"/>
          <w:sz w:val="24"/>
          <w:szCs w:val="24"/>
        </w:rPr>
        <w:lastRenderedPageBreak/>
        <w:t>oltre al contenuto informativo minimo ed essenziale, possono prevedere informazioni ulteriori di proprio interesse.</w:t>
      </w:r>
    </w:p>
    <w:p w:rsidR="00910179" w:rsidRDefault="00910179" w:rsidP="00BE3895">
      <w:pPr>
        <w:pStyle w:val="Titolo3"/>
        <w:rPr>
          <w:szCs w:val="26"/>
        </w:rPr>
      </w:pPr>
      <w:bookmarkStart w:id="15" w:name="_Toc379880214"/>
      <w:bookmarkStart w:id="16" w:name="_Toc409780588"/>
      <w:r>
        <w:t>Periodo temporale</w:t>
      </w:r>
      <w:bookmarkEnd w:id="15"/>
      <w:bookmarkEnd w:id="16"/>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Sono stati analizzati i dati relativi al periodo 2005-2010 (anno più recente disponibile</w:t>
      </w:r>
      <w:r w:rsidR="007F4172">
        <w:rPr>
          <w:rFonts w:ascii="Arial" w:hAnsi="Arial" w:cs="Arial"/>
          <w:sz w:val="24"/>
          <w:szCs w:val="24"/>
        </w:rPr>
        <w:t xml:space="preserve"> al momento dell’esecuzione del lavoro</w:t>
      </w:r>
      <w:r w:rsidRPr="00CC12FD">
        <w:rPr>
          <w:rFonts w:ascii="Arial" w:hAnsi="Arial" w:cs="Arial"/>
          <w:sz w:val="24"/>
          <w:szCs w:val="24"/>
        </w:rPr>
        <w:t>).</w:t>
      </w:r>
    </w:p>
    <w:p w:rsidR="00910179" w:rsidRDefault="00910179" w:rsidP="00BE3895">
      <w:pPr>
        <w:pStyle w:val="Titolo3"/>
        <w:rPr>
          <w:szCs w:val="26"/>
        </w:rPr>
      </w:pPr>
      <w:bookmarkStart w:id="17" w:name="_Toc379880215"/>
      <w:bookmarkStart w:id="18" w:name="_Toc409780589"/>
      <w:r>
        <w:t>Tipo di ricovero</w:t>
      </w:r>
      <w:bookmarkEnd w:id="17"/>
      <w:bookmarkEnd w:id="18"/>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Per descrivere l’ospedalizzazione di popolazioni, l’analisi è stata svolta sulle persone ricoverate (e non sui ricoveri), di cui si descrive il primo ricovero avvenuto nel periodo di tempo esaminato.</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L’analisi ha </w:t>
      </w:r>
      <w:proofErr w:type="gramStart"/>
      <w:r w:rsidRPr="00CC12FD">
        <w:rPr>
          <w:rFonts w:ascii="Arial" w:hAnsi="Arial" w:cs="Arial"/>
          <w:sz w:val="24"/>
          <w:szCs w:val="24"/>
        </w:rPr>
        <w:t>riguardato  l’insieme</w:t>
      </w:r>
      <w:proofErr w:type="gramEnd"/>
      <w:r w:rsidRPr="00CC12FD">
        <w:rPr>
          <w:rFonts w:ascii="Arial" w:hAnsi="Arial" w:cs="Arial"/>
          <w:sz w:val="24"/>
          <w:szCs w:val="24"/>
        </w:rPr>
        <w:t xml:space="preserve"> dei ricoveri ordinari e in </w:t>
      </w:r>
      <w:proofErr w:type="spellStart"/>
      <w:r w:rsidRPr="00CC12FD">
        <w:rPr>
          <w:rFonts w:ascii="Arial" w:hAnsi="Arial" w:cs="Arial"/>
          <w:sz w:val="24"/>
          <w:szCs w:val="24"/>
        </w:rPr>
        <w:t>day</w:t>
      </w:r>
      <w:proofErr w:type="spellEnd"/>
      <w:r w:rsidRPr="00CC12FD">
        <w:rPr>
          <w:rFonts w:ascii="Arial" w:hAnsi="Arial" w:cs="Arial"/>
          <w:sz w:val="24"/>
          <w:szCs w:val="24"/>
        </w:rPr>
        <w:t xml:space="preserve"> hospital; poiché lo scopo era stimare nel modo più accurato la prevalenza di malattia, e dato che in particolare per le patologie oncologiche molti trattamenti chemio/radioterapici sono svolti in regime diurno, si è deciso di considerare in toto la banca dati dei ricoveri ospedalieri, senza esclusione dei diurni, escludendo invece  i ricoveri nelle lungo-degenze e nelle riabilitazioni, strutture non attinenti al presente lavoro.</w:t>
      </w:r>
    </w:p>
    <w:p w:rsidR="00910179" w:rsidRDefault="00910179" w:rsidP="00BE3895">
      <w:pPr>
        <w:pStyle w:val="Titolo3"/>
        <w:rPr>
          <w:szCs w:val="26"/>
        </w:rPr>
      </w:pPr>
      <w:bookmarkStart w:id="19" w:name="_Toc379880216"/>
      <w:bookmarkStart w:id="20" w:name="_Toc409780590"/>
      <w:r>
        <w:t>Le cause di ricovero</w:t>
      </w:r>
      <w:bookmarkEnd w:id="19"/>
      <w:bookmarkEnd w:id="20"/>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Le diagnosi di ricovero vengono classificate a livello internazionale mediante un sistema condiviso denominato ICD-9 CM (International </w:t>
      </w:r>
      <w:proofErr w:type="spellStart"/>
      <w:r w:rsidRPr="00CC12FD">
        <w:rPr>
          <w:rFonts w:ascii="Arial" w:hAnsi="Arial" w:cs="Arial"/>
          <w:sz w:val="24"/>
          <w:szCs w:val="24"/>
        </w:rPr>
        <w:t>Classification</w:t>
      </w:r>
      <w:proofErr w:type="spellEnd"/>
      <w:r w:rsidRPr="00CC12FD">
        <w:rPr>
          <w:rFonts w:ascii="Arial" w:hAnsi="Arial" w:cs="Arial"/>
          <w:sz w:val="24"/>
          <w:szCs w:val="24"/>
        </w:rPr>
        <w:t xml:space="preserve"> of </w:t>
      </w:r>
      <w:proofErr w:type="spellStart"/>
      <w:r w:rsidRPr="00CC12FD">
        <w:rPr>
          <w:rFonts w:ascii="Arial" w:hAnsi="Arial" w:cs="Arial"/>
          <w:sz w:val="24"/>
          <w:szCs w:val="24"/>
        </w:rPr>
        <w:t>Diseases</w:t>
      </w:r>
      <w:proofErr w:type="spellEnd"/>
      <w:r w:rsidRPr="00CC12FD">
        <w:rPr>
          <w:rFonts w:ascii="Arial" w:hAnsi="Arial" w:cs="Arial"/>
          <w:sz w:val="24"/>
          <w:szCs w:val="24"/>
        </w:rPr>
        <w:t xml:space="preserve"> – </w:t>
      </w:r>
      <w:proofErr w:type="spellStart"/>
      <w:r w:rsidRPr="00CC12FD">
        <w:rPr>
          <w:rFonts w:ascii="Arial" w:hAnsi="Arial" w:cs="Arial"/>
          <w:sz w:val="24"/>
          <w:szCs w:val="24"/>
        </w:rPr>
        <w:t>Clinical</w:t>
      </w:r>
      <w:proofErr w:type="spellEnd"/>
      <w:r w:rsidRPr="00CC12FD">
        <w:rPr>
          <w:rFonts w:ascii="Arial" w:hAnsi="Arial" w:cs="Arial"/>
          <w:sz w:val="24"/>
          <w:szCs w:val="24"/>
        </w:rPr>
        <w:t xml:space="preserve"> </w:t>
      </w:r>
      <w:proofErr w:type="spellStart"/>
      <w:r w:rsidRPr="00CC12FD">
        <w:rPr>
          <w:rFonts w:ascii="Arial" w:hAnsi="Arial" w:cs="Arial"/>
          <w:sz w:val="24"/>
          <w:szCs w:val="24"/>
        </w:rPr>
        <w:t>Modification</w:t>
      </w:r>
      <w:proofErr w:type="spellEnd"/>
      <w:r w:rsidRPr="00CC12FD">
        <w:rPr>
          <w:rFonts w:ascii="Arial" w:hAnsi="Arial" w:cs="Arial"/>
          <w:sz w:val="24"/>
          <w:szCs w:val="24"/>
        </w:rPr>
        <w:t>), applicato anche nel nostro Paese.</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t>La Classificazione internazionale delle malattie (ICD), di cui si è parlato nel paragrafo sulla mortalità, è un sistema di classificazione che organizza le malattie ed i traumatismi in gruppi sulla base di criteri definiti.</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t>Nel 1893, la Conferenza dell’Istituto internazionale di statistica, che ebbe luogo a Chicago, approvò la Classificazione internazionale delle cause di morte e l’Italia avviò l’adozione di tale classificazione, per le statistiche sulla mortalità, a partire dal 1924.</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t xml:space="preserve">La Classificazione internazionale, sottoposta a periodiche revisioni, fu adottata anche per rilevare le cause di morbosità oltre che di </w:t>
      </w:r>
      <w:proofErr w:type="gramStart"/>
      <w:r w:rsidRPr="00CC12FD">
        <w:rPr>
          <w:rFonts w:ascii="Arial" w:hAnsi="Arial" w:cs="Arial"/>
          <w:sz w:val="24"/>
          <w:szCs w:val="24"/>
        </w:rPr>
        <w:t>mortalità ,</w:t>
      </w:r>
      <w:proofErr w:type="gramEnd"/>
      <w:r w:rsidRPr="00CC12FD">
        <w:rPr>
          <w:rFonts w:ascii="Arial" w:hAnsi="Arial" w:cs="Arial"/>
          <w:sz w:val="24"/>
          <w:szCs w:val="24"/>
        </w:rPr>
        <w:t xml:space="preserve"> a partire dal 1948 (6a revisione). Nel 1975, a Ginevra, nel corso della 29a Assemblea della Organizzazione Mondiale della Sanità fu approvata la 9a revisione della Classificazione (ICD-9).</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lastRenderedPageBreak/>
        <w:t xml:space="preserve">Dal 1979, negli Stati Uniti, un Comitato (in cui sono rappresentate le Associazioni professionali ed accademiche dei medici, le Associazioni degli ospedali, l’Ufficio regionale della Organizzazione Mondiale della Sanità , l’agenzia HCFA) ha sviluppato e provvede ad aggiornare annualmente una versione modificata ed ampliata, con l’introduzione degli interventi e delle procedure diagnostiche e terapeutiche, del sistema di classificazione, la ICD-9-CM International </w:t>
      </w:r>
      <w:proofErr w:type="spellStart"/>
      <w:r w:rsidRPr="00CC12FD">
        <w:rPr>
          <w:rFonts w:ascii="Arial" w:hAnsi="Arial" w:cs="Arial"/>
          <w:sz w:val="24"/>
          <w:szCs w:val="24"/>
        </w:rPr>
        <w:t>Classification</w:t>
      </w:r>
      <w:proofErr w:type="spellEnd"/>
      <w:r w:rsidRPr="00CC12FD">
        <w:rPr>
          <w:rFonts w:ascii="Arial" w:hAnsi="Arial" w:cs="Arial"/>
          <w:sz w:val="24"/>
          <w:szCs w:val="24"/>
        </w:rPr>
        <w:t xml:space="preserve"> of </w:t>
      </w:r>
      <w:proofErr w:type="spellStart"/>
      <w:r w:rsidRPr="00CC12FD">
        <w:rPr>
          <w:rFonts w:ascii="Arial" w:hAnsi="Arial" w:cs="Arial"/>
          <w:sz w:val="24"/>
          <w:szCs w:val="24"/>
        </w:rPr>
        <w:t>Diseases</w:t>
      </w:r>
      <w:proofErr w:type="spellEnd"/>
      <w:r w:rsidRPr="00CC12FD">
        <w:rPr>
          <w:rFonts w:ascii="Arial" w:hAnsi="Arial" w:cs="Arial"/>
          <w:sz w:val="24"/>
          <w:szCs w:val="24"/>
        </w:rPr>
        <w:t xml:space="preserve">, 9th </w:t>
      </w:r>
      <w:proofErr w:type="spellStart"/>
      <w:r w:rsidRPr="00CC12FD">
        <w:rPr>
          <w:rFonts w:ascii="Arial" w:hAnsi="Arial" w:cs="Arial"/>
          <w:sz w:val="24"/>
          <w:szCs w:val="24"/>
        </w:rPr>
        <w:t>revision</w:t>
      </w:r>
      <w:proofErr w:type="spellEnd"/>
      <w:r w:rsidRPr="00CC12FD">
        <w:rPr>
          <w:rFonts w:ascii="Arial" w:hAnsi="Arial" w:cs="Arial"/>
          <w:sz w:val="24"/>
          <w:szCs w:val="24"/>
        </w:rPr>
        <w:t xml:space="preserve">, </w:t>
      </w:r>
      <w:proofErr w:type="spellStart"/>
      <w:r w:rsidRPr="00CC12FD">
        <w:rPr>
          <w:rFonts w:ascii="Arial" w:hAnsi="Arial" w:cs="Arial"/>
          <w:sz w:val="24"/>
          <w:szCs w:val="24"/>
        </w:rPr>
        <w:t>Clinical</w:t>
      </w:r>
      <w:proofErr w:type="spellEnd"/>
      <w:r w:rsidRPr="00CC12FD">
        <w:rPr>
          <w:rFonts w:ascii="Arial" w:hAnsi="Arial" w:cs="Arial"/>
          <w:sz w:val="24"/>
          <w:szCs w:val="24"/>
        </w:rPr>
        <w:t xml:space="preserve"> </w:t>
      </w:r>
      <w:proofErr w:type="spellStart"/>
      <w:r w:rsidRPr="00CC12FD">
        <w:rPr>
          <w:rFonts w:ascii="Arial" w:hAnsi="Arial" w:cs="Arial"/>
          <w:sz w:val="24"/>
          <w:szCs w:val="24"/>
        </w:rPr>
        <w:t>Modification</w:t>
      </w:r>
      <w:proofErr w:type="spellEnd"/>
      <w:r w:rsidRPr="00CC12FD">
        <w:rPr>
          <w:rFonts w:ascii="Arial" w:hAnsi="Arial" w:cs="Arial"/>
          <w:sz w:val="24"/>
          <w:szCs w:val="24"/>
        </w:rPr>
        <w:t xml:space="preserve">. Da allora, nell’ottobre di ciascun anno, il National Center for </w:t>
      </w:r>
      <w:proofErr w:type="spellStart"/>
      <w:r w:rsidRPr="00CC12FD">
        <w:rPr>
          <w:rFonts w:ascii="Arial" w:hAnsi="Arial" w:cs="Arial"/>
          <w:sz w:val="24"/>
          <w:szCs w:val="24"/>
        </w:rPr>
        <w:t>Health</w:t>
      </w:r>
      <w:proofErr w:type="spellEnd"/>
      <w:r w:rsidRPr="00CC12FD">
        <w:rPr>
          <w:rFonts w:ascii="Arial" w:hAnsi="Arial" w:cs="Arial"/>
          <w:sz w:val="24"/>
          <w:szCs w:val="24"/>
        </w:rPr>
        <w:t xml:space="preserve"> </w:t>
      </w:r>
      <w:proofErr w:type="spellStart"/>
      <w:r w:rsidRPr="00CC12FD">
        <w:rPr>
          <w:rFonts w:ascii="Arial" w:hAnsi="Arial" w:cs="Arial"/>
          <w:sz w:val="24"/>
          <w:szCs w:val="24"/>
        </w:rPr>
        <w:t>Statistics</w:t>
      </w:r>
      <w:proofErr w:type="spellEnd"/>
      <w:r w:rsidRPr="00CC12FD">
        <w:rPr>
          <w:rFonts w:ascii="Arial" w:hAnsi="Arial" w:cs="Arial"/>
          <w:sz w:val="24"/>
          <w:szCs w:val="24"/>
        </w:rPr>
        <w:t xml:space="preserve"> (NCHS), sezione del Centers for </w:t>
      </w:r>
      <w:proofErr w:type="spellStart"/>
      <w:r w:rsidRPr="00CC12FD">
        <w:rPr>
          <w:rFonts w:ascii="Arial" w:hAnsi="Arial" w:cs="Arial"/>
          <w:sz w:val="24"/>
          <w:szCs w:val="24"/>
        </w:rPr>
        <w:t>Disease</w:t>
      </w:r>
      <w:proofErr w:type="spellEnd"/>
      <w:r w:rsidRPr="00CC12FD">
        <w:rPr>
          <w:rFonts w:ascii="Arial" w:hAnsi="Arial" w:cs="Arial"/>
          <w:sz w:val="24"/>
          <w:szCs w:val="24"/>
        </w:rPr>
        <w:t xml:space="preserve"> Control (CDC) pubblica aggiornamenti dell’ICD-9-CM.</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sz w:val="24"/>
          <w:szCs w:val="24"/>
        </w:rPr>
        <w:t xml:space="preserve">Il termine </w:t>
      </w:r>
      <w:proofErr w:type="spellStart"/>
      <w:r w:rsidRPr="00CC12FD">
        <w:rPr>
          <w:rFonts w:ascii="Arial" w:hAnsi="Arial" w:cs="Arial"/>
          <w:sz w:val="24"/>
          <w:szCs w:val="24"/>
        </w:rPr>
        <w:t>clinical</w:t>
      </w:r>
      <w:proofErr w:type="spellEnd"/>
      <w:r w:rsidRPr="00CC12FD">
        <w:rPr>
          <w:rFonts w:ascii="Arial" w:hAnsi="Arial" w:cs="Arial"/>
          <w:sz w:val="24"/>
          <w:szCs w:val="24"/>
        </w:rPr>
        <w:t xml:space="preserve"> è utilizzato per sottolineare le modifiche introdotte: rispetto alla ICD-9, fortemente caratterizzata dall’orientamento a scopo di classificazione delle cause di </w:t>
      </w:r>
      <w:proofErr w:type="gramStart"/>
      <w:r w:rsidRPr="00CC12FD">
        <w:rPr>
          <w:rFonts w:ascii="Arial" w:hAnsi="Arial" w:cs="Arial"/>
          <w:sz w:val="24"/>
          <w:szCs w:val="24"/>
        </w:rPr>
        <w:t>mortalità ,</w:t>
      </w:r>
      <w:proofErr w:type="gramEnd"/>
      <w:r w:rsidRPr="00CC12FD">
        <w:rPr>
          <w:rFonts w:ascii="Arial" w:hAnsi="Arial" w:cs="Arial"/>
          <w:sz w:val="24"/>
          <w:szCs w:val="24"/>
        </w:rPr>
        <w:t xml:space="preserve"> la ICD-9-CM è soprattutto orientata a classificare le informazioni sulla morbosità. Infatti, le principali modifiche sono finalizzate a consentire sia una classificazione più precisa ed analitica delle formulazioni diagnostiche, attraverso l’introduzione di un quinto carattere, sia l’introduzione della classificazione delle procedure diagnostiche e terapeutiche. La Classificazione ICD-9, nella traduzione italiana predisposta e pubblicata a cura dell’ISTAT, Classificazione delle malattie, traumatismi e cause di morte (9 revisione, 1975), è stata utilizzata, ai sensi del Decreto del Ministero della Sanità del 26 luglio 1993, per la codifica delle informazioni cliniche rilevate attraverso la Scheda di Dimissione Ospedaliera (SDO). Con il decreto ministeriale n. 380 del 20 ottobre 2000 la codifica delle informazioni sanitarie della SDO viene effettuata con la classificazione ICD-9-CM versione 1997 e successivamente, dal primo gennaio 2006, è stato adottato l’aggiornamento alla versione 2002, in ottemperanza al decreto ministeriale del 21 novembre 2005.</w:t>
      </w:r>
    </w:p>
    <w:p w:rsidR="00D9216F" w:rsidRPr="00CC12FD" w:rsidRDefault="00D9216F" w:rsidP="00D9216F">
      <w:pPr>
        <w:spacing w:before="120" w:after="120" w:line="360" w:lineRule="auto"/>
        <w:jc w:val="both"/>
        <w:rPr>
          <w:rFonts w:ascii="Arial" w:hAnsi="Arial" w:cs="Arial"/>
          <w:sz w:val="24"/>
          <w:szCs w:val="24"/>
        </w:rPr>
      </w:pPr>
      <w:r w:rsidRPr="00CC12FD">
        <w:rPr>
          <w:rFonts w:ascii="Arial" w:hAnsi="Arial" w:cs="Arial"/>
          <w:bCs/>
          <w:sz w:val="24"/>
          <w:szCs w:val="24"/>
        </w:rPr>
        <w:t>A partire dal primo gennaio 2009</w:t>
      </w:r>
      <w:r w:rsidRPr="00CC12FD">
        <w:rPr>
          <w:rFonts w:ascii="Arial" w:hAnsi="Arial" w:cs="Arial"/>
          <w:sz w:val="24"/>
          <w:szCs w:val="24"/>
        </w:rPr>
        <w:t>, per la codifica delle diagnosi, principale e secondarie, e delle procedure, principale e secondarie, contenute nella SDO, viene adottata su tutto il territorio nazionale la </w:t>
      </w:r>
      <w:r w:rsidRPr="00CC12FD">
        <w:rPr>
          <w:rFonts w:ascii="Arial" w:hAnsi="Arial" w:cs="Arial"/>
          <w:bCs/>
          <w:sz w:val="24"/>
          <w:szCs w:val="24"/>
        </w:rPr>
        <w:t>versione 2007</w:t>
      </w:r>
      <w:r w:rsidRPr="00CC12FD">
        <w:rPr>
          <w:rFonts w:ascii="Arial" w:hAnsi="Arial" w:cs="Arial"/>
          <w:sz w:val="24"/>
          <w:szCs w:val="24"/>
        </w:rPr>
        <w:t xml:space="preserve"> </w:t>
      </w:r>
      <w:r w:rsidRPr="00CC12FD">
        <w:rPr>
          <w:rFonts w:ascii="Arial" w:hAnsi="Arial" w:cs="Arial"/>
          <w:bCs/>
          <w:sz w:val="24"/>
          <w:szCs w:val="24"/>
        </w:rPr>
        <w:t>della classificazione ICD-9-CM</w:t>
      </w:r>
      <w:r w:rsidRPr="00CC12FD">
        <w:rPr>
          <w:rFonts w:ascii="Arial" w:hAnsi="Arial" w:cs="Arial"/>
          <w:sz w:val="24"/>
          <w:szCs w:val="24"/>
        </w:rPr>
        <w:t>.</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Ciascuna SDO riporta una “diagnosi principale” e fino a cinque “diagnosi secondarie”; si è deciso di esaminare solo la diagnosi principale, optando per la cosiddetta “scelta conservativa” che potrebbe portare ad una sottostima dei casi, ma che minimizza i falsi positivi; infatti,  studi italiani, che hanno comparato le cartelle cliniche con le SDO al fine di studiarne l’accuratezza e la completezza, hanno dimostrato la soddisfacente accuratezza con cui si compila la diagnosi principale rispetto alle altre diagnosi secondarie la cui registrazione si presenta lacunosa; inoltre studi italiani e internazionali dimostrano che le misure</w:t>
      </w:r>
      <w:r w:rsidR="00CA2ABC">
        <w:rPr>
          <w:rFonts w:ascii="Arial" w:hAnsi="Arial" w:cs="Arial"/>
          <w:sz w:val="24"/>
          <w:szCs w:val="24"/>
        </w:rPr>
        <w:t xml:space="preserve"> </w:t>
      </w:r>
      <w:r w:rsidRPr="00CC12FD">
        <w:rPr>
          <w:rFonts w:ascii="Arial" w:hAnsi="Arial" w:cs="Arial"/>
          <w:sz w:val="24"/>
          <w:szCs w:val="24"/>
        </w:rPr>
        <w:t xml:space="preserve"> basate solo sulla </w:t>
      </w:r>
      <w:r w:rsidRPr="00CC12FD">
        <w:rPr>
          <w:rFonts w:ascii="Arial" w:hAnsi="Arial" w:cs="Arial"/>
          <w:sz w:val="24"/>
          <w:szCs w:val="24"/>
        </w:rPr>
        <w:lastRenderedPageBreak/>
        <w:t>diagnosi principale sono più specifiche (meno falsi positivi), mentre le misure che prendono in considerazione tutte le diagnosi sono più sensibili (meno falsi negativi)</w:t>
      </w:r>
      <w:r w:rsidRPr="00CC12FD">
        <w:rPr>
          <w:rFonts w:ascii="Arial" w:hAnsi="Arial"/>
          <w:sz w:val="24"/>
          <w:szCs w:val="24"/>
          <w:vertAlign w:val="superscript"/>
        </w:rPr>
        <w:footnoteReference w:id="10"/>
      </w:r>
      <w:r w:rsidRPr="00CC12FD">
        <w:rPr>
          <w:rFonts w:ascii="Arial" w:hAnsi="Arial" w:cs="Arial"/>
          <w:sz w:val="24"/>
          <w:szCs w:val="24"/>
        </w:rPr>
        <w:t>.</w:t>
      </w:r>
    </w:p>
    <w:p w:rsidR="00D9216F" w:rsidRPr="00CC12FD" w:rsidRDefault="00D9216F" w:rsidP="00910179">
      <w:pPr>
        <w:spacing w:before="120" w:after="120" w:line="360" w:lineRule="auto"/>
        <w:jc w:val="both"/>
        <w:rPr>
          <w:rFonts w:ascii="Arial" w:hAnsi="Arial" w:cs="Arial"/>
          <w:sz w:val="24"/>
          <w:szCs w:val="24"/>
        </w:rPr>
      </w:pPr>
      <w:r w:rsidRPr="00CC12FD">
        <w:rPr>
          <w:rFonts w:ascii="Arial" w:hAnsi="Arial" w:cs="Arial"/>
          <w:sz w:val="24"/>
          <w:szCs w:val="24"/>
        </w:rPr>
        <w:t>La diagnosi principale è la condizione, identificata alla fine del ricovero, che risulta essere la principale responsabile del bisogno di trattamento e /o di indagini diagnostiche. Se nel corso dello stesso ricovero si evidenzia più di una condizione con caratteristiche analoghe, deve essere selezionata quale principale quella che è risultata essere responsabile dell’impiego maggiore di risorse. Salvo che le note dell’elenco sistematico o dell’indice alfabetico indichino altrimenti, quando nel corso del ricovero non è stata formulata una diagnosi definitiva, possono essere utilizzati per la codifica della diagnosi principale i codici relativi a segni, sintomi e condizioni mal definite riportati nel capitolo 16</w:t>
      </w:r>
      <w:r w:rsidR="00750EDE">
        <w:rPr>
          <w:rFonts w:ascii="Arial" w:hAnsi="Arial" w:cs="Arial"/>
          <w:sz w:val="24"/>
          <w:szCs w:val="24"/>
        </w:rPr>
        <w:t xml:space="preserve"> </w:t>
      </w:r>
      <w:r w:rsidRPr="00CC12FD">
        <w:rPr>
          <w:rFonts w:ascii="Arial" w:hAnsi="Arial" w:cs="Arial"/>
          <w:sz w:val="24"/>
          <w:szCs w:val="24"/>
        </w:rPr>
        <w:t xml:space="preserve">della Classificazione internazionale delle malattie - modificazione clinica ( versione italiana della versione 1997 della International </w:t>
      </w:r>
      <w:proofErr w:type="spellStart"/>
      <w:r w:rsidRPr="00CC12FD">
        <w:rPr>
          <w:rFonts w:ascii="Arial" w:hAnsi="Arial" w:cs="Arial"/>
          <w:sz w:val="24"/>
          <w:szCs w:val="24"/>
        </w:rPr>
        <w:t>Classification</w:t>
      </w:r>
      <w:proofErr w:type="spellEnd"/>
      <w:r w:rsidRPr="00CC12FD">
        <w:rPr>
          <w:rFonts w:ascii="Arial" w:hAnsi="Arial" w:cs="Arial"/>
          <w:sz w:val="24"/>
          <w:szCs w:val="24"/>
        </w:rPr>
        <w:t xml:space="preserve"> of </w:t>
      </w:r>
      <w:proofErr w:type="spellStart"/>
      <w:r w:rsidRPr="00CC12FD">
        <w:rPr>
          <w:rFonts w:ascii="Arial" w:hAnsi="Arial" w:cs="Arial"/>
          <w:sz w:val="24"/>
          <w:szCs w:val="24"/>
        </w:rPr>
        <w:t>Diseases</w:t>
      </w:r>
      <w:proofErr w:type="spellEnd"/>
      <w:r w:rsidRPr="00CC12FD">
        <w:rPr>
          <w:rFonts w:ascii="Arial" w:hAnsi="Arial" w:cs="Arial"/>
          <w:sz w:val="24"/>
          <w:szCs w:val="24"/>
        </w:rPr>
        <w:t xml:space="preserve"> - 9th </w:t>
      </w:r>
      <w:proofErr w:type="spellStart"/>
      <w:r w:rsidRPr="00CC12FD">
        <w:rPr>
          <w:rFonts w:ascii="Arial" w:hAnsi="Arial" w:cs="Arial"/>
          <w:sz w:val="24"/>
          <w:szCs w:val="24"/>
        </w:rPr>
        <w:t>revision</w:t>
      </w:r>
      <w:proofErr w:type="spellEnd"/>
      <w:r w:rsidRPr="00CC12FD">
        <w:rPr>
          <w:rFonts w:ascii="Arial" w:hAnsi="Arial" w:cs="Arial"/>
          <w:sz w:val="24"/>
          <w:szCs w:val="24"/>
        </w:rPr>
        <w:t xml:space="preserve"> - </w:t>
      </w:r>
      <w:proofErr w:type="spellStart"/>
      <w:r w:rsidRPr="00CC12FD">
        <w:rPr>
          <w:rFonts w:ascii="Arial" w:hAnsi="Arial" w:cs="Arial"/>
          <w:sz w:val="24"/>
          <w:szCs w:val="24"/>
        </w:rPr>
        <w:t>Clinical</w:t>
      </w:r>
      <w:proofErr w:type="spellEnd"/>
      <w:r w:rsidRPr="00CC12FD">
        <w:rPr>
          <w:rFonts w:ascii="Arial" w:hAnsi="Arial" w:cs="Arial"/>
          <w:sz w:val="24"/>
          <w:szCs w:val="24"/>
        </w:rPr>
        <w:t xml:space="preserve"> </w:t>
      </w:r>
      <w:proofErr w:type="spellStart"/>
      <w:r w:rsidRPr="00CC12FD">
        <w:rPr>
          <w:rFonts w:ascii="Arial" w:hAnsi="Arial" w:cs="Arial"/>
          <w:sz w:val="24"/>
          <w:szCs w:val="24"/>
        </w:rPr>
        <w:t>Modification</w:t>
      </w:r>
      <w:proofErr w:type="spellEnd"/>
      <w:r w:rsidRPr="00CC12FD">
        <w:rPr>
          <w:rFonts w:ascii="Arial" w:hAnsi="Arial" w:cs="Arial"/>
          <w:sz w:val="24"/>
          <w:szCs w:val="24"/>
        </w:rPr>
        <w:t>). Quando il ricovero è finalizzato a trattare esclusivamente uno specifico segno o sintomo, quest'ultimo deve essere selezionato come diagnosi principale. I codici contenuti in parentesi nell'indice alfabetico non devono essere utilizzati come diagnosi principale.</w:t>
      </w:r>
    </w:p>
    <w:p w:rsidR="009305EC" w:rsidRPr="00CC12FD" w:rsidRDefault="009305EC"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Quando il ricovero è finalizzato a trattare una neoplasia maligna, quest’ultima deve essere selezionata come diagnosi principale salvo che il ricovero sia finalizzato prevalentemente ad eseguire la radioterapia (V58.0) o la chemioterapia (V58.1): in tali casi la neoplasia maligna deve essere codificata come diagnosi secondaria e la diagnosi principale deve essere codificata con i codici V58.0 o V58.1. Quando un paziente è ricoverato per eseguire prevalentemente la radioterapia o la chemioterapia e nel corso del ricovero si sviluppano delle complicazioni quali nausea e vomito non controllati o disidratazione, deve essere indicata quale diagnosi principale la radioterapia (V58.0) o la chemioterapia (V58.1). Quando il ricovero comporta la rimozione chirurgica di una neoplasia maligna, primitiva o secondaria seguita da chemioterapia o radioterapia, deve essere selezionata quale diagnosi principale la neoplasia maligna. Quando il ricovero è finalizzato a determinare la </w:t>
      </w:r>
      <w:proofErr w:type="spellStart"/>
      <w:r w:rsidRPr="00CC12FD">
        <w:rPr>
          <w:rFonts w:ascii="Arial" w:hAnsi="Arial" w:cs="Arial"/>
          <w:sz w:val="24"/>
          <w:szCs w:val="24"/>
        </w:rPr>
        <w:t>stadiazione</w:t>
      </w:r>
      <w:proofErr w:type="spellEnd"/>
      <w:r w:rsidRPr="00CC12FD">
        <w:rPr>
          <w:rFonts w:ascii="Arial" w:hAnsi="Arial" w:cs="Arial"/>
          <w:sz w:val="24"/>
          <w:szCs w:val="24"/>
        </w:rPr>
        <w:t xml:space="preserve"> della neoplasia, deve essere selezionata come diagnosi principale la neoplasia, anche se nel corso dello stesso ricovero sono eseguite la radioterapia o la chemioterapia. Qualunque estensione per contiguità o a distanza deve essere codificata come neoplasia maligna secondaria della sede invasa; quando la neoplasia primitiva è stata asportata nel corso di un precedente ricovero, la forma secondaria deve essere indicata come diagnosi principale; la neoplasia pregressa deve </w:t>
      </w:r>
      <w:r w:rsidRPr="00CC12FD">
        <w:rPr>
          <w:rFonts w:ascii="Arial" w:hAnsi="Arial" w:cs="Arial"/>
          <w:sz w:val="24"/>
          <w:szCs w:val="24"/>
        </w:rPr>
        <w:lastRenderedPageBreak/>
        <w:t>essere segnalata utilizzando il codice V</w:t>
      </w:r>
      <w:proofErr w:type="gramStart"/>
      <w:r w:rsidRPr="00CC12FD">
        <w:rPr>
          <w:rFonts w:ascii="Arial" w:hAnsi="Arial" w:cs="Arial"/>
          <w:sz w:val="24"/>
          <w:szCs w:val="24"/>
        </w:rPr>
        <w:t>10._</w:t>
      </w:r>
      <w:proofErr w:type="gramEnd"/>
      <w:r w:rsidRPr="00CC12FD">
        <w:rPr>
          <w:rFonts w:ascii="Arial" w:hAnsi="Arial" w:cs="Arial"/>
          <w:sz w:val="24"/>
          <w:szCs w:val="24"/>
        </w:rPr>
        <w:t>. Quando un paziente è ricoverato a causa di una neoplasia primitiva metastatizzata e il trattamento è diretto soltanto alla sede secondaria, la neoplasia secondaria deve essere selezionata come diagnosi principale anche se la forma primitiva fosse ancora presente; se, invece, il ricovero è finalizzato prevalentemente ad eseguire la radioterapia o la chemioterapia della forma secondaria, la diagnosi principale deve esser codificata con V58.0 o V58.1.</w:t>
      </w:r>
    </w:p>
    <w:p w:rsidR="00910179" w:rsidRDefault="00910179" w:rsidP="00910179">
      <w:pPr>
        <w:spacing w:before="120" w:after="120" w:line="360" w:lineRule="auto"/>
        <w:jc w:val="both"/>
        <w:rPr>
          <w:rFonts w:ascii="Arial" w:eastAsiaTheme="majorEastAsia" w:hAnsi="Arial" w:cstheme="majorBidi"/>
          <w:b/>
          <w:bCs/>
          <w:sz w:val="28"/>
          <w:szCs w:val="26"/>
        </w:rPr>
      </w:pPr>
      <w:bookmarkStart w:id="21" w:name="_Toc379880217"/>
      <w:bookmarkStart w:id="22" w:name="_Toc409780591"/>
      <w:r w:rsidRPr="00BE3895">
        <w:rPr>
          <w:rStyle w:val="Titolo3Carattere"/>
        </w:rPr>
        <w:t>La scelta delle diagnosi</w:t>
      </w:r>
      <w:bookmarkEnd w:id="21"/>
      <w:bookmarkEnd w:id="22"/>
      <w:r>
        <w:rPr>
          <w:rFonts w:ascii="Arial" w:eastAsiaTheme="majorEastAsia" w:hAnsi="Arial" w:cstheme="majorBidi"/>
          <w:b/>
          <w:bCs/>
          <w:sz w:val="28"/>
          <w:szCs w:val="26"/>
        </w:rPr>
        <w:t xml:space="preserve"> </w:t>
      </w:r>
      <w:r>
        <w:rPr>
          <w:rFonts w:ascii="Arial" w:hAnsi="Arial" w:cs="Arial"/>
          <w:sz w:val="22"/>
          <w:szCs w:val="22"/>
        </w:rPr>
        <w:t>(Tabella 3 e Tabella 4)</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Poiché lo scopo è quello di studiare i ricoveri per patologie che possono risentire di fattori di inquinamento ambientale, l’analisi riguarda le cause naturali (escluse quindi le cause violente</w:t>
      </w:r>
      <w:proofErr w:type="gramStart"/>
      <w:r w:rsidRPr="00CC12FD">
        <w:rPr>
          <w:rFonts w:ascii="Arial" w:hAnsi="Arial" w:cs="Arial"/>
          <w:sz w:val="24"/>
          <w:szCs w:val="24"/>
        </w:rPr>
        <w:t>);  sono</w:t>
      </w:r>
      <w:proofErr w:type="gramEnd"/>
      <w:r w:rsidRPr="00CC12FD">
        <w:rPr>
          <w:rFonts w:ascii="Arial" w:hAnsi="Arial" w:cs="Arial"/>
          <w:sz w:val="24"/>
          <w:szCs w:val="24"/>
        </w:rPr>
        <w:t xml:space="preserve"> stati  esclusi  anche i parti e  loro conseguenze.</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Sono stati esaminati grandi gruppi di </w:t>
      </w:r>
      <w:proofErr w:type="gramStart"/>
      <w:r w:rsidRPr="00CC12FD">
        <w:rPr>
          <w:rFonts w:ascii="Arial" w:hAnsi="Arial" w:cs="Arial"/>
          <w:sz w:val="24"/>
          <w:szCs w:val="24"/>
        </w:rPr>
        <w:t>patologie:  malattie</w:t>
      </w:r>
      <w:proofErr w:type="gramEnd"/>
      <w:r w:rsidRPr="00CC12FD">
        <w:rPr>
          <w:rFonts w:ascii="Arial" w:hAnsi="Arial" w:cs="Arial"/>
          <w:sz w:val="24"/>
          <w:szCs w:val="24"/>
        </w:rPr>
        <w:t xml:space="preserve"> infettive,  tumori maligni, patologie del sistema nervoso, del sistema circolatorio, del sistema respiratorio, del sistema digestivo, del sistema urinario.</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All’interno dei tumori maligni, delle malattie circolatorie e respiratorie è stata svolta un’analisi di dettaglio su varie cause. La scelta </w:t>
      </w:r>
      <w:proofErr w:type="gramStart"/>
      <w:r w:rsidRPr="00CC12FD">
        <w:rPr>
          <w:rFonts w:ascii="Arial" w:hAnsi="Arial" w:cs="Arial"/>
          <w:sz w:val="24"/>
          <w:szCs w:val="24"/>
        </w:rPr>
        <w:t>operata  è</w:t>
      </w:r>
      <w:proofErr w:type="gramEnd"/>
      <w:r w:rsidRPr="00CC12FD">
        <w:rPr>
          <w:rFonts w:ascii="Arial" w:hAnsi="Arial" w:cs="Arial"/>
          <w:sz w:val="24"/>
          <w:szCs w:val="24"/>
        </w:rPr>
        <w:t xml:space="preserve"> in linea con quanto emerge dalla letteratura.</w:t>
      </w:r>
    </w:p>
    <w:p w:rsidR="00C82678" w:rsidRDefault="00C82678" w:rsidP="00C82678">
      <w:pPr>
        <w:pStyle w:val="Titolo3"/>
        <w:rPr>
          <w:szCs w:val="26"/>
        </w:rPr>
      </w:pPr>
      <w:bookmarkStart w:id="23" w:name="_Toc379880219"/>
      <w:bookmarkStart w:id="24" w:name="_Toc409780593"/>
      <w:bookmarkStart w:id="25" w:name="_Toc379880218"/>
      <w:bookmarkStart w:id="26" w:name="_Toc409780592"/>
      <w:r>
        <w:t>Aggiustamento per indice di deprivazione</w:t>
      </w:r>
      <w:bookmarkEnd w:id="23"/>
      <w:bookmarkEnd w:id="24"/>
    </w:p>
    <w:p w:rsidR="00C82678" w:rsidRPr="00CC12FD" w:rsidRDefault="00C82678" w:rsidP="00C82678">
      <w:pPr>
        <w:spacing w:before="120" w:after="120" w:line="360" w:lineRule="auto"/>
        <w:jc w:val="both"/>
        <w:rPr>
          <w:rFonts w:ascii="Arial" w:hAnsi="Arial" w:cs="Arial"/>
          <w:sz w:val="24"/>
          <w:szCs w:val="24"/>
        </w:rPr>
      </w:pPr>
      <w:r w:rsidRPr="007F4172">
        <w:rPr>
          <w:rFonts w:ascii="Arial" w:hAnsi="Arial" w:cs="Arial"/>
          <w:sz w:val="24"/>
          <w:szCs w:val="24"/>
        </w:rPr>
        <w:t xml:space="preserve">Come per la mortalità, tutti i rapporti standardizzati calcolati in questo lavoro sono stati aggiustati per indice di deprivazione. L'indice di deprivazione(ID) è </w:t>
      </w:r>
      <w:proofErr w:type="gramStart"/>
      <w:r w:rsidRPr="007F4172">
        <w:rPr>
          <w:rFonts w:ascii="Arial" w:hAnsi="Arial" w:cs="Arial"/>
          <w:sz w:val="24"/>
          <w:szCs w:val="24"/>
        </w:rPr>
        <w:t>una  misura</w:t>
      </w:r>
      <w:proofErr w:type="gramEnd"/>
      <w:r w:rsidRPr="007F4172">
        <w:rPr>
          <w:rFonts w:ascii="Arial" w:hAnsi="Arial" w:cs="Arial"/>
          <w:sz w:val="24"/>
          <w:szCs w:val="24"/>
        </w:rPr>
        <w:t xml:space="preserve"> composita di area, che esprime la deprivazione a livello di popolazione. Gli ID solitamente si riferiscono agli abitanti di aree geografiche e sono stati prodotti inizialmente in Gran Bretagna per descrivere e studiare le differenze di salute tra aree diverse. L'indice di deprivazione utilizzato, calcolato a partire dai dati del Censimento generale della popolazione Italiana del 2001, si basa su cinque condizioni che concorrono operativamente a descrivere il concetto multidimensionale della deprivazione sociale e materiale: basso livello di istruzione, disoccupazione, mancato possesso dell’abitazione, famiglia </w:t>
      </w:r>
      <w:proofErr w:type="spellStart"/>
      <w:r w:rsidRPr="007F4172">
        <w:rPr>
          <w:rFonts w:ascii="Arial" w:hAnsi="Arial" w:cs="Arial"/>
          <w:sz w:val="24"/>
          <w:szCs w:val="24"/>
        </w:rPr>
        <w:t>monogenitoriale</w:t>
      </w:r>
      <w:proofErr w:type="spellEnd"/>
      <w:r w:rsidRPr="007F4172">
        <w:rPr>
          <w:rFonts w:ascii="Arial" w:hAnsi="Arial" w:cs="Arial"/>
          <w:sz w:val="24"/>
          <w:szCs w:val="24"/>
        </w:rPr>
        <w:t xml:space="preserve"> e alta densità abitativa. L’indice è la somma di indicatori standardizzati categorizzati in quintili di popolazione. Si rimanda al paragrafo della mortalità per una trattazione più approfondita</w:t>
      </w:r>
    </w:p>
    <w:p w:rsidR="00910179" w:rsidRDefault="00910179" w:rsidP="00BE3895">
      <w:pPr>
        <w:pStyle w:val="Titolo3"/>
        <w:rPr>
          <w:rFonts w:eastAsia="MS Mincho" w:cs="Arial"/>
          <w:sz w:val="22"/>
          <w:szCs w:val="22"/>
        </w:rPr>
      </w:pPr>
      <w:r>
        <w:t>Indice statistico calcolato</w:t>
      </w:r>
      <w:bookmarkEnd w:id="25"/>
      <w:bookmarkEnd w:id="26"/>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 xml:space="preserve">Per la popolazione dei comuni che compongono i siti in esame sono stati calcolati - per genere - il numero assoluto di ricoverati ed il rapporto standardizzato di ospedalizzazione (SHR, </w:t>
      </w:r>
      <w:proofErr w:type="spellStart"/>
      <w:r w:rsidRPr="00CC12FD">
        <w:rPr>
          <w:rFonts w:ascii="Arial" w:hAnsi="Arial" w:cs="Arial"/>
          <w:sz w:val="24"/>
          <w:szCs w:val="24"/>
        </w:rPr>
        <w:lastRenderedPageBreak/>
        <w:t>Standardized</w:t>
      </w:r>
      <w:proofErr w:type="spellEnd"/>
      <w:r w:rsidRPr="00CC12FD">
        <w:rPr>
          <w:rFonts w:ascii="Arial" w:hAnsi="Arial" w:cs="Arial"/>
          <w:sz w:val="24"/>
          <w:szCs w:val="24"/>
        </w:rPr>
        <w:t xml:space="preserve"> </w:t>
      </w:r>
      <w:proofErr w:type="spellStart"/>
      <w:r w:rsidRPr="00CC12FD">
        <w:rPr>
          <w:rFonts w:ascii="Arial" w:hAnsi="Arial" w:cs="Arial"/>
          <w:sz w:val="24"/>
          <w:szCs w:val="24"/>
        </w:rPr>
        <w:t>Hospitalisation</w:t>
      </w:r>
      <w:proofErr w:type="spellEnd"/>
      <w:r w:rsidRPr="00CC12FD">
        <w:rPr>
          <w:rFonts w:ascii="Arial" w:hAnsi="Arial" w:cs="Arial"/>
          <w:sz w:val="24"/>
          <w:szCs w:val="24"/>
        </w:rPr>
        <w:t xml:space="preserve"> Rate) rispetto alla situazione regionale. La definizione dell’SHR è analoga a quella dell’SMR già descritto </w:t>
      </w:r>
      <w:r w:rsidR="007616B8" w:rsidRPr="00CC12FD">
        <w:rPr>
          <w:rFonts w:ascii="Arial" w:hAnsi="Arial" w:cs="Arial"/>
          <w:sz w:val="24"/>
          <w:szCs w:val="24"/>
        </w:rPr>
        <w:t>in precedenza</w:t>
      </w:r>
      <w:r w:rsidRPr="00CC12FD">
        <w:rPr>
          <w:rFonts w:ascii="Arial" w:hAnsi="Arial" w:cs="Arial"/>
          <w:sz w:val="24"/>
          <w:szCs w:val="24"/>
        </w:rPr>
        <w:t xml:space="preserve">, ovvero, l’SHR compara il numero osservato di persone ricoverate in una certa popolazione con il numero di persone ricoverate da attendersi in essa, se questa avesse sperimentato i livelli di ospedalizzazione della popolazione di riferimento (in questo caso, i residenti nella regione in cui si trovano i comuni che compongono il sito indagato). </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Per una più completa trattazione statistica, un singolo valore (in questo caso l’SHR) viene corredato da un intervallo di valori (detto Intervallo di Confidenza, in sigla IC); valori dell’IC al 90% di confidenza indicano che vi è una probabilità del 90% che l'intervallo stimato includa la vera caratteristica della popolazione. In altre parole, esso esprime il livello di precisione dell’indicatore stimato.</w:t>
      </w:r>
    </w:p>
    <w:p w:rsidR="00910179" w:rsidRPr="00CC12FD" w:rsidRDefault="00910179" w:rsidP="00910179">
      <w:pPr>
        <w:spacing w:before="120" w:after="120" w:line="360" w:lineRule="auto"/>
        <w:jc w:val="both"/>
        <w:rPr>
          <w:rFonts w:ascii="Arial" w:hAnsi="Arial" w:cs="Arial"/>
          <w:sz w:val="24"/>
          <w:szCs w:val="24"/>
        </w:rPr>
      </w:pPr>
      <w:r w:rsidRPr="00CC12FD">
        <w:rPr>
          <w:rFonts w:ascii="Arial" w:hAnsi="Arial" w:cs="Arial"/>
          <w:sz w:val="24"/>
          <w:szCs w:val="24"/>
        </w:rPr>
        <w:t>Per una rapida lettura dei dati, si ricordi che gli SHR i cui intervalli di confidenza contengono il valore 100 sono da considerare non significativi.</w:t>
      </w:r>
    </w:p>
    <w:p w:rsidR="00BE3895" w:rsidRDefault="00BE3895" w:rsidP="00BE3895">
      <w:pPr>
        <w:pStyle w:val="Titolo3"/>
      </w:pPr>
      <w:bookmarkStart w:id="27" w:name="_Toc409780594"/>
      <w:r>
        <w:t>Distinzione per genere</w:t>
      </w:r>
      <w:bookmarkEnd w:id="27"/>
      <w:r>
        <w:t xml:space="preserve"> </w:t>
      </w:r>
    </w:p>
    <w:p w:rsidR="00BE3895" w:rsidRPr="00CC12FD" w:rsidRDefault="00BE3895" w:rsidP="00BE3895">
      <w:pPr>
        <w:spacing w:before="120" w:after="120" w:line="360" w:lineRule="auto"/>
        <w:jc w:val="both"/>
        <w:rPr>
          <w:rFonts w:ascii="Arial" w:hAnsi="Arial" w:cs="Arial"/>
          <w:sz w:val="24"/>
          <w:szCs w:val="24"/>
        </w:rPr>
      </w:pPr>
      <w:r w:rsidRPr="00CC12FD">
        <w:rPr>
          <w:rFonts w:ascii="Arial" w:hAnsi="Arial" w:cs="Arial"/>
          <w:sz w:val="24"/>
          <w:szCs w:val="24"/>
        </w:rPr>
        <w:t>Studiando la mortalità nella popolazione di tutte le età è stata effettuata una disti</w:t>
      </w:r>
      <w:r w:rsidR="00B83C15">
        <w:rPr>
          <w:rFonts w:ascii="Arial" w:hAnsi="Arial" w:cs="Arial"/>
          <w:sz w:val="24"/>
          <w:szCs w:val="24"/>
        </w:rPr>
        <w:t>n</w:t>
      </w:r>
      <w:r w:rsidRPr="00CC12FD">
        <w:rPr>
          <w:rFonts w:ascii="Arial" w:hAnsi="Arial" w:cs="Arial"/>
          <w:sz w:val="24"/>
          <w:szCs w:val="24"/>
        </w:rPr>
        <w:t>zione per genere, che invece non è informativa per l’età pediatrica, i cui risultati si riferiscono pertanto a maschi e femmine insieme.</w:t>
      </w:r>
    </w:p>
    <w:p w:rsidR="00BE3895" w:rsidRDefault="00BE3895" w:rsidP="00910179">
      <w:pPr>
        <w:spacing w:before="120" w:after="120" w:line="360" w:lineRule="auto"/>
        <w:jc w:val="both"/>
        <w:rPr>
          <w:rFonts w:ascii="Arial" w:hAnsi="Arial" w:cs="Arial"/>
          <w:sz w:val="22"/>
          <w:szCs w:val="22"/>
        </w:rPr>
      </w:pPr>
    </w:p>
    <w:p w:rsidR="00910179" w:rsidRDefault="00C82678" w:rsidP="00910179">
      <w:pPr>
        <w:jc w:val="center"/>
        <w:rPr>
          <w:rFonts w:ascii="Arial" w:hAnsi="Arial" w:cs="Arial"/>
          <w:b/>
          <w:sz w:val="18"/>
          <w:szCs w:val="18"/>
        </w:rPr>
      </w:pPr>
      <w:r>
        <w:rPr>
          <w:rFonts w:ascii="Arial" w:hAnsi="Arial" w:cs="Arial"/>
          <w:b/>
          <w:sz w:val="18"/>
          <w:szCs w:val="18"/>
        </w:rPr>
        <w:br w:type="column"/>
      </w:r>
      <w:r w:rsidR="00910179">
        <w:rPr>
          <w:rFonts w:ascii="Arial" w:hAnsi="Arial" w:cs="Arial"/>
          <w:b/>
          <w:sz w:val="18"/>
          <w:szCs w:val="18"/>
        </w:rPr>
        <w:lastRenderedPageBreak/>
        <w:t>Tabella 3. Cause di ricovero analizzate – tutte le età</w:t>
      </w:r>
    </w:p>
    <w:p w:rsidR="00910179" w:rsidRDefault="00910179" w:rsidP="00910179">
      <w:pPr>
        <w:jc w:val="center"/>
        <w:rPr>
          <w:rFonts w:ascii="Arial" w:hAnsi="Arial" w:cs="Arial"/>
          <w:b/>
          <w:sz w:val="18"/>
          <w:szCs w:val="18"/>
        </w:rPr>
      </w:pPr>
    </w:p>
    <w:tbl>
      <w:tblPr>
        <w:tblStyle w:val="Sfondomedio1-Color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638"/>
      </w:tblGrid>
      <w:tr w:rsidR="00910179" w:rsidTr="00910179">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keepNext/>
              <w:adjustRightInd w:val="0"/>
              <w:rPr>
                <w:rFonts w:ascii="Arial" w:hAnsi="Arial" w:cs="Arial"/>
                <w:bCs w:val="0"/>
                <w:sz w:val="18"/>
                <w:szCs w:val="18"/>
              </w:rPr>
            </w:pPr>
            <w:r>
              <w:rPr>
                <w:rFonts w:ascii="Arial" w:hAnsi="Arial" w:cs="Arial"/>
                <w:bCs w:val="0"/>
                <w:sz w:val="18"/>
                <w:szCs w:val="18"/>
              </w:rPr>
              <w:t>Diagnosi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keepNext/>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bCs w:val="0"/>
                <w:sz w:val="18"/>
                <w:szCs w:val="18"/>
              </w:rPr>
              <w:t>Codici ICD-9-CM</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Tutte le cause naturali (escluse complicazioni della gravidanza, del parto e del puerperio)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001-629,677-799</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infettive e parassitarie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001-139</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Tutti i tumori maligni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140-208</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dell’esofago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150</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dello stomaco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151</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colon, del retto, della giunzione rettosigmoidea e dell'ano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153-154</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primitivi del fegato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1550</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pancreas</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157</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laringe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161</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trachea, dei bronchi e dei polmoni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162</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pleura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163</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delle ossa e delle cartilagini articolari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170</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connettivo e di altri tessuti molli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171</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Melanoma maligno della cute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172</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Altri tumori maligni della cute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173</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mammella della donna (F)</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174</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dell'utero (F)</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179-180, 182</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dell'ovaio e degli altri annessi uterini (F)</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183</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prostata (M)</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185</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testicolo (M)</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186</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vescica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188</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rene e di altri non specificati organi urinari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189</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dell'encefalo e di altre non specificate parti del sistema nervoso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191-192</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 xml:space="preserve">          Tumori maligni dell'encefalo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191</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della ghiandola tiroidea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193</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tessuto linfatico ed emopoietico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200-208</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567"/>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 xml:space="preserve">Linfomi non </w:t>
            </w:r>
            <w:proofErr w:type="spellStart"/>
            <w:r>
              <w:rPr>
                <w:rFonts w:ascii="Arial" w:eastAsia="Times New Roman" w:hAnsi="Arial" w:cs="Arial"/>
                <w:b w:val="0"/>
                <w:color w:val="000000"/>
                <w:sz w:val="18"/>
                <w:szCs w:val="18"/>
                <w:lang w:eastAsia="it-IT"/>
              </w:rPr>
              <w:t>Hodgkin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200, 202</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567"/>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 xml:space="preserve">Malattia </w:t>
            </w:r>
            <w:proofErr w:type="gramStart"/>
            <w:r>
              <w:rPr>
                <w:rFonts w:ascii="Arial" w:eastAsia="Times New Roman" w:hAnsi="Arial" w:cs="Arial"/>
                <w:b w:val="0"/>
                <w:color w:val="000000"/>
                <w:sz w:val="18"/>
                <w:szCs w:val="18"/>
                <w:lang w:eastAsia="it-IT"/>
              </w:rPr>
              <w:t xml:space="preserve">di  </w:t>
            </w:r>
            <w:proofErr w:type="spellStart"/>
            <w:r>
              <w:rPr>
                <w:rFonts w:ascii="Arial" w:eastAsia="Times New Roman" w:hAnsi="Arial" w:cs="Arial"/>
                <w:b w:val="0"/>
                <w:color w:val="000000"/>
                <w:sz w:val="18"/>
                <w:szCs w:val="18"/>
                <w:lang w:eastAsia="it-IT"/>
              </w:rPr>
              <w:t>Hodgkin</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201</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567"/>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Mieloma multiplo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203</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567"/>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Leucemie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204-208</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del sistema nervoso centrale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330-349</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del sistema circolatorio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390-459</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cardiache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390-429</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ischemiche del cuore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410-414</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adjustRightInd w:val="0"/>
              <w:ind w:left="567"/>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ischemiche acute (Infarto miocardio, altre forme acute e subacute di cardiopatia ischemica)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410-411</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Scompenso cardiaco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428</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cerebrovascolari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430-438</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dell'apparato respiratorio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460-519</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Infezioni acute delle vie respiratorie, polmonite e influenza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460-466, 480-487</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polmonari cronico ostruttive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490-492,494,496</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Asma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493</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Pneumoconiosi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500-505</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dell'apparato digerente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520-579</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      Cirrosi e altre malattie croniche del fegato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571</w:t>
            </w:r>
          </w:p>
        </w:tc>
      </w:tr>
      <w:tr w:rsidR="00910179" w:rsidTr="009101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Malattie dell'apparato urinario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580-599</w:t>
            </w:r>
          </w:p>
        </w:tc>
      </w:tr>
      <w:tr w:rsidR="00910179" w:rsidTr="0091017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046" w:type="dxa"/>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Nefrite, sindrome nefrosica, e nefrosi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580-589</w:t>
            </w:r>
          </w:p>
        </w:tc>
      </w:tr>
    </w:tbl>
    <w:p w:rsidR="00910179" w:rsidRDefault="00910179" w:rsidP="00910179">
      <w:pPr>
        <w:jc w:val="both"/>
        <w:rPr>
          <w:rFonts w:ascii="Arial" w:hAnsi="Arial" w:cs="Arial"/>
          <w:sz w:val="18"/>
          <w:szCs w:val="18"/>
        </w:rPr>
      </w:pPr>
    </w:p>
    <w:p w:rsidR="00910179" w:rsidRDefault="00910179" w:rsidP="00910179">
      <w:pPr>
        <w:jc w:val="center"/>
        <w:rPr>
          <w:rFonts w:ascii="Arial" w:hAnsi="Arial" w:cs="Arial"/>
          <w:b/>
          <w:sz w:val="18"/>
          <w:szCs w:val="18"/>
        </w:rPr>
      </w:pPr>
      <w:r>
        <w:rPr>
          <w:rFonts w:ascii="Arial" w:hAnsi="Arial" w:cs="Arial"/>
          <w:b/>
          <w:sz w:val="18"/>
          <w:szCs w:val="18"/>
        </w:rPr>
        <w:br w:type="column"/>
      </w:r>
      <w:r>
        <w:rPr>
          <w:rFonts w:ascii="Arial" w:hAnsi="Arial" w:cs="Arial"/>
          <w:b/>
          <w:sz w:val="18"/>
          <w:szCs w:val="18"/>
        </w:rPr>
        <w:lastRenderedPageBreak/>
        <w:t>Tabella 4. Cause di ricovero analizzate – età: 0-14</w:t>
      </w:r>
    </w:p>
    <w:p w:rsidR="00910179" w:rsidRDefault="00910179" w:rsidP="00910179">
      <w:pPr>
        <w:jc w:val="both"/>
        <w:rPr>
          <w:rFonts w:ascii="Arial" w:hAnsi="Arial" w:cs="Arial"/>
          <w:sz w:val="18"/>
          <w:szCs w:val="18"/>
        </w:rPr>
      </w:pPr>
    </w:p>
    <w:tbl>
      <w:tblPr>
        <w:tblStyle w:val="Sfondomedio1-Colore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0"/>
        <w:gridCol w:w="1638"/>
      </w:tblGrid>
      <w:tr w:rsidR="00910179" w:rsidTr="00910179">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noWrap/>
            <w:vAlign w:val="center"/>
            <w:hideMark/>
          </w:tcPr>
          <w:p w:rsidR="00910179" w:rsidRDefault="00910179">
            <w:pPr>
              <w:jc w:val="both"/>
              <w:rPr>
                <w:rFonts w:ascii="Arial" w:hAnsi="Arial" w:cs="Arial"/>
                <w:sz w:val="18"/>
                <w:szCs w:val="18"/>
              </w:rPr>
            </w:pPr>
            <w:r>
              <w:rPr>
                <w:rFonts w:ascii="Arial" w:hAnsi="Arial" w:cs="Arial"/>
                <w:sz w:val="18"/>
                <w:szCs w:val="18"/>
              </w:rPr>
              <w:t>Diagnosi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910179" w:rsidRDefault="009101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ICD-10</w:t>
            </w:r>
          </w:p>
        </w:tc>
      </w:tr>
      <w:tr w:rsidR="00910179" w:rsidTr="0091017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both"/>
              <w:rPr>
                <w:rFonts w:ascii="Arial" w:hAnsi="Arial" w:cs="Arial"/>
                <w:b w:val="0"/>
                <w:sz w:val="18"/>
                <w:szCs w:val="18"/>
              </w:rPr>
            </w:pPr>
            <w:r>
              <w:rPr>
                <w:rFonts w:ascii="Arial" w:eastAsia="Times New Roman" w:hAnsi="Arial" w:cs="Arial"/>
                <w:b w:val="0"/>
                <w:color w:val="000000"/>
                <w:sz w:val="18"/>
                <w:szCs w:val="18"/>
                <w:lang w:eastAsia="it-IT"/>
              </w:rPr>
              <w:t>Tutte le cause naturali (escluse complicazioni della gravidanza, del parto e del puerperio)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001-629,677-799</w:t>
            </w:r>
          </w:p>
        </w:tc>
      </w:tr>
      <w:tr w:rsidR="00910179" w:rsidTr="00910179">
        <w:trPr>
          <w:cnfStyle w:val="000000010000" w:firstRow="0" w:lastRow="0" w:firstColumn="0" w:lastColumn="0" w:oddVBand="0" w:evenVBand="0" w:oddHBand="0" w:evenHBand="1"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both"/>
              <w:rPr>
                <w:rFonts w:ascii="Arial" w:hAnsi="Arial" w:cs="Arial"/>
                <w:b w:val="0"/>
                <w:sz w:val="18"/>
                <w:szCs w:val="18"/>
              </w:rPr>
            </w:pPr>
            <w:r>
              <w:rPr>
                <w:rFonts w:ascii="Arial" w:hAnsi="Arial" w:cs="Arial"/>
                <w:b w:val="0"/>
                <w:sz w:val="18"/>
                <w:szCs w:val="18"/>
              </w:rPr>
              <w:t>Tutti i Tumori</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140-208</w:t>
            </w:r>
          </w:p>
        </w:tc>
      </w:tr>
      <w:tr w:rsidR="00910179" w:rsidTr="0091017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dell'encefalo e di altre non specificate parti del sistema nervoso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191-192</w:t>
            </w:r>
          </w:p>
        </w:tc>
      </w:tr>
      <w:tr w:rsidR="00910179" w:rsidTr="00910179">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ind w:left="284"/>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Tumori maligni del tessuto linfatico ed emopoietico</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200-208</w:t>
            </w:r>
          </w:p>
        </w:tc>
      </w:tr>
      <w:tr w:rsidR="00910179" w:rsidTr="00910179">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both"/>
              <w:rPr>
                <w:rFonts w:ascii="Arial" w:hAnsi="Arial" w:cs="Arial"/>
                <w:b w:val="0"/>
                <w:sz w:val="18"/>
                <w:szCs w:val="18"/>
              </w:rPr>
            </w:pPr>
            <w:r>
              <w:rPr>
                <w:rFonts w:ascii="Arial" w:hAnsi="Arial" w:cs="Arial"/>
                <w:b w:val="0"/>
                <w:sz w:val="18"/>
                <w:szCs w:val="18"/>
              </w:rPr>
              <w:t>             Leucemie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204-208</w:t>
            </w:r>
          </w:p>
        </w:tc>
      </w:tr>
      <w:tr w:rsidR="00910179" w:rsidTr="00910179">
        <w:trPr>
          <w:cnfStyle w:val="000000010000" w:firstRow="0" w:lastRow="0" w:firstColumn="0" w:lastColumn="0" w:oddVBand="0" w:evenVBand="0" w:oddHBand="0" w:evenHBand="1"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rPr>
                <w:rFonts w:ascii="Arial" w:eastAsia="Times New Roman" w:hAnsi="Arial" w:cs="Arial"/>
                <w:b w:val="0"/>
                <w:color w:val="000000"/>
                <w:sz w:val="18"/>
                <w:szCs w:val="18"/>
                <w:lang w:eastAsia="it-IT"/>
              </w:rPr>
            </w:pPr>
            <w:r>
              <w:rPr>
                <w:rFonts w:ascii="Arial" w:eastAsia="Times New Roman" w:hAnsi="Arial" w:cs="Arial"/>
                <w:b w:val="0"/>
                <w:color w:val="000000"/>
                <w:sz w:val="18"/>
                <w:szCs w:val="18"/>
                <w:lang w:eastAsia="it-IT"/>
              </w:rPr>
              <w:t>Infezioni acute delle vie respiratorie, polmonite e influenza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460-466, 480-487</w:t>
            </w:r>
          </w:p>
        </w:tc>
      </w:tr>
      <w:tr w:rsidR="00910179" w:rsidTr="00910179">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both"/>
              <w:rPr>
                <w:rFonts w:ascii="Arial" w:hAnsi="Arial" w:cs="Arial"/>
                <w:b w:val="0"/>
                <w:sz w:val="18"/>
                <w:szCs w:val="18"/>
              </w:rPr>
            </w:pPr>
            <w:r>
              <w:rPr>
                <w:rFonts w:ascii="Arial" w:hAnsi="Arial" w:cs="Arial"/>
                <w:b w:val="0"/>
                <w:sz w:val="18"/>
                <w:szCs w:val="18"/>
              </w:rPr>
              <w:t>Asma</w:t>
            </w:r>
          </w:p>
        </w:tc>
        <w:tc>
          <w:tcPr>
            <w:tcW w:w="0" w:type="auto"/>
            <w:tcBorders>
              <w:top w:val="single" w:sz="4" w:space="0" w:color="auto"/>
              <w:left w:val="single" w:sz="4" w:space="0" w:color="auto"/>
              <w:bottom w:val="single" w:sz="4" w:space="0" w:color="auto"/>
              <w:right w:val="single" w:sz="4" w:space="0" w:color="auto"/>
            </w:tcBorders>
            <w:vAlign w:val="center"/>
            <w:hideMark/>
          </w:tcPr>
          <w:p w:rsidR="00910179" w:rsidRDefault="009101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493</w:t>
            </w:r>
          </w:p>
        </w:tc>
      </w:tr>
    </w:tbl>
    <w:p w:rsidR="00910179" w:rsidRPr="00910179" w:rsidRDefault="00910179" w:rsidP="00910179"/>
    <w:p w:rsidR="007C4029" w:rsidRDefault="005739A4" w:rsidP="00AA28F0">
      <w:pPr>
        <w:pStyle w:val="Titolo1"/>
      </w:pPr>
      <w:r>
        <w:br w:type="column"/>
      </w:r>
      <w:bookmarkStart w:id="28" w:name="_Toc409780595"/>
      <w:r w:rsidR="007C4029" w:rsidRPr="00AA28F0">
        <w:lastRenderedPageBreak/>
        <w:t>Risultati</w:t>
      </w:r>
      <w:bookmarkEnd w:id="28"/>
    </w:p>
    <w:p w:rsidR="007C4029" w:rsidRPr="0090267E" w:rsidRDefault="007C4029" w:rsidP="00042B53">
      <w:pPr>
        <w:spacing w:before="120" w:after="120" w:line="360" w:lineRule="auto"/>
        <w:jc w:val="both"/>
        <w:rPr>
          <w:rFonts w:ascii="Arial" w:hAnsi="Arial" w:cs="Arial"/>
          <w:b/>
          <w:sz w:val="24"/>
          <w:szCs w:val="24"/>
        </w:rPr>
      </w:pPr>
      <w:r w:rsidRPr="0090267E">
        <w:rPr>
          <w:rFonts w:ascii="Arial" w:hAnsi="Arial" w:cs="Arial"/>
          <w:sz w:val="24"/>
          <w:szCs w:val="24"/>
        </w:rPr>
        <w:t>In primo luogo, per contestualizzare lo studio della mortalità, è stat</w:t>
      </w:r>
      <w:r w:rsidR="001370EE" w:rsidRPr="0090267E">
        <w:rPr>
          <w:rFonts w:ascii="Arial" w:hAnsi="Arial" w:cs="Arial"/>
          <w:sz w:val="24"/>
          <w:szCs w:val="24"/>
        </w:rPr>
        <w:t>a</w:t>
      </w:r>
      <w:r w:rsidRPr="0090267E">
        <w:rPr>
          <w:rFonts w:ascii="Arial" w:hAnsi="Arial" w:cs="Arial"/>
          <w:sz w:val="24"/>
          <w:szCs w:val="24"/>
        </w:rPr>
        <w:t xml:space="preserve"> effettuata una </w:t>
      </w:r>
      <w:proofErr w:type="gramStart"/>
      <w:r w:rsidRPr="0090267E">
        <w:rPr>
          <w:rFonts w:ascii="Arial" w:hAnsi="Arial" w:cs="Arial"/>
          <w:sz w:val="24"/>
          <w:szCs w:val="24"/>
        </w:rPr>
        <w:t>caratterizzazione  demografica</w:t>
      </w:r>
      <w:proofErr w:type="gramEnd"/>
      <w:r w:rsidRPr="0090267E">
        <w:rPr>
          <w:rFonts w:ascii="Arial" w:hAnsi="Arial" w:cs="Arial"/>
          <w:b/>
          <w:sz w:val="24"/>
          <w:szCs w:val="24"/>
        </w:rPr>
        <w:t>.</w:t>
      </w:r>
    </w:p>
    <w:p w:rsidR="00755E67" w:rsidRPr="00AA28F0" w:rsidRDefault="007C4029" w:rsidP="00AA28F0">
      <w:pPr>
        <w:pStyle w:val="Titolo2"/>
      </w:pPr>
      <w:bookmarkStart w:id="29" w:name="_Toc409780596"/>
      <w:r w:rsidRPr="00AA28F0">
        <w:t xml:space="preserve">Caratterizzazione </w:t>
      </w:r>
      <w:r w:rsidR="00755E67" w:rsidRPr="00AA28F0">
        <w:t>demografic</w:t>
      </w:r>
      <w:r w:rsidRPr="00AA28F0">
        <w:t>a</w:t>
      </w:r>
      <w:bookmarkEnd w:id="29"/>
    </w:p>
    <w:p w:rsidR="00755E67" w:rsidRPr="0090267E" w:rsidRDefault="00F714BD" w:rsidP="00042B53">
      <w:pPr>
        <w:spacing w:before="120" w:after="120" w:line="360" w:lineRule="auto"/>
        <w:jc w:val="both"/>
        <w:rPr>
          <w:rFonts w:ascii="Arial" w:hAnsi="Arial" w:cs="Arial"/>
          <w:sz w:val="24"/>
          <w:szCs w:val="24"/>
        </w:rPr>
      </w:pPr>
      <w:r w:rsidRPr="0090267E">
        <w:rPr>
          <w:rFonts w:ascii="Arial" w:hAnsi="Arial" w:cs="Arial"/>
          <w:sz w:val="24"/>
          <w:szCs w:val="24"/>
        </w:rPr>
        <w:t>I</w:t>
      </w:r>
      <w:r w:rsidR="00755E67" w:rsidRPr="0090267E">
        <w:rPr>
          <w:rFonts w:ascii="Arial" w:hAnsi="Arial" w:cs="Arial"/>
          <w:sz w:val="24"/>
          <w:szCs w:val="24"/>
        </w:rPr>
        <w:t xml:space="preserve"> 20 comuni </w:t>
      </w:r>
      <w:r w:rsidRPr="0090267E">
        <w:rPr>
          <w:rFonts w:ascii="Arial" w:hAnsi="Arial" w:cs="Arial"/>
          <w:sz w:val="24"/>
          <w:szCs w:val="24"/>
        </w:rPr>
        <w:t xml:space="preserve">che rientrano nella concessione Val d’Agri </w:t>
      </w:r>
      <w:r w:rsidR="00755E67" w:rsidRPr="0090267E">
        <w:rPr>
          <w:rFonts w:ascii="Arial" w:hAnsi="Arial" w:cs="Arial"/>
          <w:sz w:val="24"/>
          <w:szCs w:val="24"/>
        </w:rPr>
        <w:t>contano una popolazione complessiva, al Censimento 2011</w:t>
      </w:r>
      <w:r w:rsidR="000426D3" w:rsidRPr="0090267E">
        <w:rPr>
          <w:rFonts w:ascii="Arial" w:hAnsi="Arial" w:cs="Arial"/>
          <w:sz w:val="24"/>
          <w:szCs w:val="24"/>
        </w:rPr>
        <w:t>,</w:t>
      </w:r>
      <w:r w:rsidR="00755E67" w:rsidRPr="0090267E">
        <w:rPr>
          <w:rFonts w:ascii="Arial" w:hAnsi="Arial" w:cs="Arial"/>
          <w:sz w:val="24"/>
          <w:szCs w:val="24"/>
        </w:rPr>
        <w:t xml:space="preserve"> di </w:t>
      </w:r>
      <w:r w:rsidR="007C0DBE" w:rsidRPr="0090267E">
        <w:rPr>
          <w:rFonts w:ascii="Arial" w:hAnsi="Arial" w:cs="Arial"/>
          <w:sz w:val="24"/>
          <w:szCs w:val="24"/>
        </w:rPr>
        <w:t>43.430</w:t>
      </w:r>
      <w:r w:rsidR="00755E67" w:rsidRPr="0090267E">
        <w:rPr>
          <w:rFonts w:ascii="Arial" w:hAnsi="Arial" w:cs="Arial"/>
          <w:sz w:val="24"/>
          <w:szCs w:val="24"/>
        </w:rPr>
        <w:t xml:space="preserve"> abitanti</w:t>
      </w:r>
      <w:r w:rsidR="00FF619C" w:rsidRPr="0090267E">
        <w:rPr>
          <w:rFonts w:ascii="Arial" w:hAnsi="Arial" w:cs="Arial"/>
          <w:sz w:val="24"/>
          <w:szCs w:val="24"/>
        </w:rPr>
        <w:t>,</w:t>
      </w:r>
      <w:r w:rsidR="007F6F38" w:rsidRPr="0090267E">
        <w:rPr>
          <w:rFonts w:ascii="Arial" w:hAnsi="Arial" w:cs="Arial"/>
          <w:sz w:val="24"/>
          <w:szCs w:val="24"/>
        </w:rPr>
        <w:t xml:space="preserve"> a fronte di </w:t>
      </w:r>
      <w:r w:rsidR="007C0DBE" w:rsidRPr="0090267E">
        <w:rPr>
          <w:rFonts w:ascii="Arial" w:hAnsi="Arial" w:cs="Arial"/>
          <w:sz w:val="24"/>
          <w:szCs w:val="24"/>
        </w:rPr>
        <w:t>578.036</w:t>
      </w:r>
      <w:r w:rsidR="007F6F38" w:rsidRPr="0090267E">
        <w:rPr>
          <w:rFonts w:ascii="Arial" w:hAnsi="Arial" w:cs="Arial"/>
          <w:sz w:val="24"/>
          <w:szCs w:val="24"/>
        </w:rPr>
        <w:t xml:space="preserve"> abitanti dell’intera Regione Basilicata</w:t>
      </w:r>
      <w:r w:rsidR="00755E67" w:rsidRPr="0090267E">
        <w:rPr>
          <w:rFonts w:ascii="Arial" w:hAnsi="Arial" w:cs="Arial"/>
          <w:sz w:val="24"/>
          <w:szCs w:val="24"/>
        </w:rPr>
        <w:t>.</w:t>
      </w:r>
    </w:p>
    <w:p w:rsidR="0024635D" w:rsidRPr="0090267E" w:rsidRDefault="00876BB0" w:rsidP="00042B53">
      <w:pPr>
        <w:spacing w:before="120" w:after="120" w:line="360" w:lineRule="auto"/>
        <w:jc w:val="both"/>
        <w:rPr>
          <w:rFonts w:ascii="Arial" w:hAnsi="Arial" w:cs="Arial"/>
          <w:sz w:val="24"/>
          <w:szCs w:val="24"/>
        </w:rPr>
      </w:pPr>
      <w:r w:rsidRPr="0090267E">
        <w:rPr>
          <w:rFonts w:ascii="Arial" w:hAnsi="Arial" w:cs="Arial"/>
          <w:sz w:val="24"/>
          <w:szCs w:val="24"/>
        </w:rPr>
        <w:t>Analizzando la struttura per età del popolazione, descritta mediante l'utilizzo grafico delle “piramidi dell'età” (Figure 1 e 2) si evidenzia come la popolazione de</w:t>
      </w:r>
      <w:r w:rsidR="007F6F38" w:rsidRPr="0090267E">
        <w:rPr>
          <w:rFonts w:ascii="Arial" w:hAnsi="Arial" w:cs="Arial"/>
          <w:sz w:val="24"/>
          <w:szCs w:val="24"/>
        </w:rPr>
        <w:t>i comuni che rientrano nella concessione val d'agri</w:t>
      </w:r>
      <w:r w:rsidRPr="0090267E">
        <w:rPr>
          <w:rFonts w:ascii="Arial" w:hAnsi="Arial" w:cs="Arial"/>
          <w:sz w:val="24"/>
          <w:szCs w:val="24"/>
        </w:rPr>
        <w:t xml:space="preserve"> abbia una struttura </w:t>
      </w:r>
      <w:r w:rsidR="00206C6A" w:rsidRPr="0090267E">
        <w:rPr>
          <w:rFonts w:ascii="Arial" w:hAnsi="Arial" w:cs="Arial"/>
          <w:sz w:val="24"/>
          <w:szCs w:val="24"/>
        </w:rPr>
        <w:t xml:space="preserve">per età sostanzialmente sovrapponibile </w:t>
      </w:r>
      <w:r w:rsidR="007F6F38" w:rsidRPr="0090267E">
        <w:rPr>
          <w:rFonts w:ascii="Arial" w:hAnsi="Arial" w:cs="Arial"/>
          <w:sz w:val="24"/>
          <w:szCs w:val="24"/>
        </w:rPr>
        <w:t>ris</w:t>
      </w:r>
      <w:r w:rsidR="00206C6A" w:rsidRPr="0090267E">
        <w:rPr>
          <w:rFonts w:ascii="Arial" w:hAnsi="Arial" w:cs="Arial"/>
          <w:sz w:val="24"/>
          <w:szCs w:val="24"/>
        </w:rPr>
        <w:t>petto al riferimento regionale.</w:t>
      </w:r>
    </w:p>
    <w:p w:rsidR="004E6741" w:rsidRPr="0090267E" w:rsidRDefault="00206C6A" w:rsidP="00042B53">
      <w:pPr>
        <w:spacing w:before="120" w:after="120" w:line="360" w:lineRule="auto"/>
        <w:jc w:val="both"/>
        <w:rPr>
          <w:rFonts w:ascii="Arial" w:hAnsi="Arial" w:cs="Arial"/>
          <w:sz w:val="24"/>
          <w:szCs w:val="24"/>
        </w:rPr>
      </w:pPr>
      <w:r w:rsidRPr="0090267E">
        <w:rPr>
          <w:rFonts w:ascii="Arial" w:hAnsi="Arial" w:cs="Arial"/>
          <w:sz w:val="24"/>
          <w:szCs w:val="24"/>
        </w:rPr>
        <w:t xml:space="preserve">Tale considerazione è confermata dalla non significatività </w:t>
      </w:r>
      <w:proofErr w:type="gramStart"/>
      <w:r w:rsidRPr="0090267E">
        <w:rPr>
          <w:rFonts w:ascii="Arial" w:hAnsi="Arial" w:cs="Arial"/>
          <w:sz w:val="24"/>
          <w:szCs w:val="24"/>
        </w:rPr>
        <w:t xml:space="preserve">del </w:t>
      </w:r>
      <w:r w:rsidR="00A85C06" w:rsidRPr="0090267E">
        <w:rPr>
          <w:rFonts w:ascii="Arial" w:hAnsi="Arial" w:cs="Arial"/>
          <w:sz w:val="24"/>
          <w:szCs w:val="24"/>
        </w:rPr>
        <w:t xml:space="preserve"> test</w:t>
      </w:r>
      <w:proofErr w:type="gramEnd"/>
      <w:r w:rsidR="00A85C06" w:rsidRPr="0090267E">
        <w:rPr>
          <w:rFonts w:ascii="Arial" w:hAnsi="Arial" w:cs="Arial"/>
          <w:sz w:val="24"/>
          <w:szCs w:val="24"/>
        </w:rPr>
        <w:t xml:space="preserve"> di </w:t>
      </w:r>
      <w:proofErr w:type="spellStart"/>
      <w:r w:rsidR="00A85C06" w:rsidRPr="0090267E">
        <w:rPr>
          <w:rFonts w:ascii="Arial" w:hAnsi="Arial" w:cs="Arial"/>
          <w:sz w:val="24"/>
          <w:szCs w:val="24"/>
        </w:rPr>
        <w:t>Kolmogorov</w:t>
      </w:r>
      <w:proofErr w:type="spellEnd"/>
      <w:r w:rsidR="00A85C06" w:rsidRPr="0090267E">
        <w:rPr>
          <w:rFonts w:ascii="Arial" w:hAnsi="Arial" w:cs="Arial"/>
          <w:sz w:val="24"/>
          <w:szCs w:val="24"/>
        </w:rPr>
        <w:t>-Smirnov</w:t>
      </w:r>
      <w:r w:rsidR="00E64EA1" w:rsidRPr="0090267E">
        <w:rPr>
          <w:rFonts w:ascii="Arial" w:hAnsi="Arial" w:cs="Arial"/>
          <w:sz w:val="24"/>
          <w:szCs w:val="24"/>
        </w:rPr>
        <w:t xml:space="preserve"> (livello di significatività: </w:t>
      </w:r>
      <w:r w:rsidR="009F6A31" w:rsidRPr="0090267E">
        <w:rPr>
          <w:rFonts w:ascii="Arial" w:hAnsi="Arial" w:cs="Arial"/>
          <w:sz w:val="24"/>
          <w:szCs w:val="24"/>
        </w:rPr>
        <w:t>0.05</w:t>
      </w:r>
      <w:r w:rsidR="00E64EA1" w:rsidRPr="0090267E">
        <w:rPr>
          <w:rFonts w:ascii="Arial" w:hAnsi="Arial" w:cs="Arial"/>
          <w:sz w:val="24"/>
          <w:szCs w:val="24"/>
        </w:rPr>
        <w:t>)</w:t>
      </w:r>
      <w:r w:rsidRPr="0090267E">
        <w:rPr>
          <w:rFonts w:ascii="Arial" w:hAnsi="Arial" w:cs="Arial"/>
          <w:sz w:val="24"/>
          <w:szCs w:val="24"/>
        </w:rPr>
        <w:t>,</w:t>
      </w:r>
      <w:r w:rsidR="00E64EA1" w:rsidRPr="0090267E">
        <w:rPr>
          <w:rFonts w:ascii="Arial" w:hAnsi="Arial" w:cs="Arial"/>
          <w:sz w:val="24"/>
          <w:szCs w:val="24"/>
        </w:rPr>
        <w:t xml:space="preserve"> </w:t>
      </w:r>
      <w:r w:rsidRPr="0090267E">
        <w:rPr>
          <w:rFonts w:ascii="Arial" w:hAnsi="Arial" w:cs="Arial"/>
          <w:sz w:val="24"/>
          <w:szCs w:val="24"/>
        </w:rPr>
        <w:t>applicato alle distribuzioni di entrambi i generi.</w:t>
      </w:r>
    </w:p>
    <w:p w:rsidR="00755E67" w:rsidRPr="00911C4D" w:rsidRDefault="00042B53" w:rsidP="000D1816">
      <w:pPr>
        <w:jc w:val="center"/>
        <w:rPr>
          <w:rFonts w:ascii="Arial" w:hAnsi="Arial" w:cs="Arial"/>
          <w:sz w:val="22"/>
          <w:szCs w:val="22"/>
        </w:rPr>
      </w:pPr>
      <w:r>
        <w:rPr>
          <w:rFonts w:ascii="Arial" w:hAnsi="Arial" w:cs="Arial"/>
          <w:b/>
          <w:sz w:val="18"/>
          <w:szCs w:val="18"/>
        </w:rPr>
        <w:br w:type="column"/>
      </w:r>
      <w:r w:rsidR="00876BB0" w:rsidRPr="00A85C06">
        <w:rPr>
          <w:rFonts w:ascii="Arial" w:hAnsi="Arial" w:cs="Arial"/>
          <w:b/>
          <w:sz w:val="18"/>
          <w:szCs w:val="18"/>
        </w:rPr>
        <w:lastRenderedPageBreak/>
        <w:t xml:space="preserve">Figura 1. </w:t>
      </w:r>
      <w:r w:rsidR="00876BB0" w:rsidRPr="00876BB0">
        <w:rPr>
          <w:rFonts w:ascii="Arial" w:hAnsi="Arial" w:cs="Arial"/>
          <w:b/>
          <w:sz w:val="18"/>
          <w:szCs w:val="18"/>
        </w:rPr>
        <w:t>Piramide dell’età dei comuni rientranti nella concessione Val d’Agri</w:t>
      </w:r>
    </w:p>
    <w:p w:rsidR="00755E67" w:rsidRDefault="00755E67" w:rsidP="003070CE">
      <w:pPr>
        <w:jc w:val="center"/>
        <w:rPr>
          <w:rFonts w:ascii="Arial" w:hAnsi="Arial" w:cs="Arial"/>
          <w:sz w:val="18"/>
          <w:szCs w:val="18"/>
        </w:rPr>
      </w:pPr>
    </w:p>
    <w:p w:rsidR="00876BB0" w:rsidRDefault="00CD74A8" w:rsidP="003070CE">
      <w:pPr>
        <w:jc w:val="center"/>
        <w:rPr>
          <w:rFonts w:ascii="Arial" w:hAnsi="Arial" w:cs="Arial"/>
          <w:sz w:val="18"/>
          <w:szCs w:val="18"/>
        </w:rPr>
      </w:pPr>
      <w:r>
        <w:rPr>
          <w:rFonts w:ascii="Arial" w:hAnsi="Arial" w:cs="Arial"/>
          <w:noProof/>
          <w:sz w:val="18"/>
          <w:szCs w:val="18"/>
          <w:lang w:eastAsia="it-IT"/>
        </w:rPr>
        <w:drawing>
          <wp:inline distT="0" distB="0" distL="0" distR="0">
            <wp:extent cx="6054869" cy="3960000"/>
            <wp:effectExtent l="0" t="0" r="317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54869" cy="3960000"/>
                    </a:xfrm>
                    <a:prstGeom prst="rect">
                      <a:avLst/>
                    </a:prstGeom>
                    <a:noFill/>
                  </pic:spPr>
                </pic:pic>
              </a:graphicData>
            </a:graphic>
          </wp:inline>
        </w:drawing>
      </w:r>
    </w:p>
    <w:p w:rsidR="000D1816" w:rsidRDefault="000D1816" w:rsidP="003070CE">
      <w:pPr>
        <w:jc w:val="center"/>
        <w:rPr>
          <w:rFonts w:ascii="Arial" w:hAnsi="Arial" w:cs="Arial"/>
          <w:b/>
          <w:sz w:val="18"/>
          <w:szCs w:val="18"/>
        </w:rPr>
      </w:pPr>
    </w:p>
    <w:p w:rsidR="000D1816" w:rsidRDefault="000D1816" w:rsidP="003070CE">
      <w:pPr>
        <w:jc w:val="center"/>
        <w:rPr>
          <w:rFonts w:ascii="Arial" w:hAnsi="Arial" w:cs="Arial"/>
          <w:b/>
          <w:sz w:val="18"/>
          <w:szCs w:val="18"/>
        </w:rPr>
      </w:pPr>
    </w:p>
    <w:p w:rsidR="000D1816" w:rsidRDefault="000D1816" w:rsidP="003070CE">
      <w:pPr>
        <w:jc w:val="center"/>
        <w:rPr>
          <w:rFonts w:ascii="Arial" w:hAnsi="Arial" w:cs="Arial"/>
          <w:b/>
          <w:sz w:val="18"/>
          <w:szCs w:val="18"/>
        </w:rPr>
      </w:pPr>
    </w:p>
    <w:p w:rsidR="000D1816" w:rsidRDefault="000D1816" w:rsidP="003070CE">
      <w:pPr>
        <w:jc w:val="center"/>
        <w:rPr>
          <w:rFonts w:ascii="Arial" w:hAnsi="Arial" w:cs="Arial"/>
          <w:b/>
          <w:sz w:val="18"/>
          <w:szCs w:val="18"/>
        </w:rPr>
      </w:pPr>
    </w:p>
    <w:p w:rsidR="00876BB0" w:rsidRDefault="00876BB0" w:rsidP="003070CE">
      <w:pPr>
        <w:jc w:val="center"/>
        <w:rPr>
          <w:rFonts w:ascii="Arial" w:hAnsi="Arial" w:cs="Arial"/>
          <w:b/>
          <w:sz w:val="18"/>
          <w:szCs w:val="18"/>
        </w:rPr>
      </w:pPr>
      <w:r w:rsidRPr="00876BB0">
        <w:rPr>
          <w:rFonts w:ascii="Arial" w:hAnsi="Arial" w:cs="Arial"/>
          <w:b/>
          <w:sz w:val="18"/>
          <w:szCs w:val="18"/>
        </w:rPr>
        <w:t xml:space="preserve">Figura </w:t>
      </w:r>
      <w:r>
        <w:rPr>
          <w:rFonts w:ascii="Arial" w:hAnsi="Arial" w:cs="Arial"/>
          <w:b/>
          <w:sz w:val="18"/>
          <w:szCs w:val="18"/>
        </w:rPr>
        <w:t>2</w:t>
      </w:r>
      <w:r w:rsidRPr="00876BB0">
        <w:rPr>
          <w:rFonts w:ascii="Arial" w:hAnsi="Arial" w:cs="Arial"/>
          <w:b/>
          <w:sz w:val="18"/>
          <w:szCs w:val="18"/>
        </w:rPr>
        <w:t>. Piramide dell’età de</w:t>
      </w:r>
      <w:r>
        <w:rPr>
          <w:rFonts w:ascii="Arial" w:hAnsi="Arial" w:cs="Arial"/>
          <w:b/>
          <w:sz w:val="18"/>
          <w:szCs w:val="18"/>
        </w:rPr>
        <w:t>lla regione Basilicata</w:t>
      </w:r>
    </w:p>
    <w:p w:rsidR="000D1816" w:rsidRDefault="000D1816" w:rsidP="003070CE">
      <w:pPr>
        <w:jc w:val="center"/>
        <w:rPr>
          <w:rFonts w:ascii="Arial" w:hAnsi="Arial" w:cs="Arial"/>
          <w:b/>
          <w:sz w:val="18"/>
          <w:szCs w:val="18"/>
        </w:rPr>
      </w:pPr>
    </w:p>
    <w:p w:rsidR="00755E67" w:rsidRDefault="00CD74A8" w:rsidP="003070CE">
      <w:pPr>
        <w:jc w:val="center"/>
        <w:rPr>
          <w:rFonts w:ascii="Arial" w:hAnsi="Arial" w:cs="Arial"/>
          <w:sz w:val="18"/>
          <w:szCs w:val="18"/>
        </w:rPr>
      </w:pPr>
      <w:r>
        <w:rPr>
          <w:rFonts w:ascii="Arial" w:hAnsi="Arial" w:cs="Arial"/>
          <w:noProof/>
          <w:sz w:val="18"/>
          <w:szCs w:val="18"/>
          <w:lang w:eastAsia="it-IT"/>
        </w:rPr>
        <w:drawing>
          <wp:inline distT="0" distB="0" distL="0" distR="0">
            <wp:extent cx="6054865" cy="3960000"/>
            <wp:effectExtent l="0" t="0" r="3175"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54865" cy="3960000"/>
                    </a:xfrm>
                    <a:prstGeom prst="rect">
                      <a:avLst/>
                    </a:prstGeom>
                    <a:noFill/>
                  </pic:spPr>
                </pic:pic>
              </a:graphicData>
            </a:graphic>
          </wp:inline>
        </w:drawing>
      </w:r>
    </w:p>
    <w:p w:rsidR="0054595C" w:rsidRDefault="0054595C" w:rsidP="0075497B">
      <w:pPr>
        <w:jc w:val="both"/>
        <w:rPr>
          <w:rFonts w:ascii="Arial" w:hAnsi="Arial" w:cs="Arial"/>
          <w:sz w:val="18"/>
          <w:szCs w:val="18"/>
        </w:rPr>
      </w:pPr>
    </w:p>
    <w:p w:rsidR="00177037" w:rsidRDefault="00294EEE" w:rsidP="00AA28F0">
      <w:pPr>
        <w:pStyle w:val="Titolo2"/>
      </w:pPr>
      <w:bookmarkStart w:id="30" w:name="_Toc409780597"/>
      <w:r w:rsidRPr="00AE6590">
        <w:t>L</w:t>
      </w:r>
      <w:r w:rsidR="00AE6590">
        <w:t>a mortalità</w:t>
      </w:r>
      <w:bookmarkEnd w:id="30"/>
    </w:p>
    <w:p w:rsidR="00D66386" w:rsidRPr="0090267E" w:rsidRDefault="00D66386" w:rsidP="00D66386">
      <w:pPr>
        <w:spacing w:before="120" w:after="120" w:line="360" w:lineRule="auto"/>
        <w:jc w:val="both"/>
        <w:rPr>
          <w:rFonts w:ascii="Arial" w:hAnsi="Arial" w:cs="Arial"/>
          <w:b/>
          <w:sz w:val="24"/>
          <w:szCs w:val="24"/>
        </w:rPr>
      </w:pPr>
      <w:r>
        <w:rPr>
          <w:rFonts w:ascii="Arial" w:hAnsi="Arial" w:cs="Arial"/>
          <w:sz w:val="24"/>
          <w:szCs w:val="24"/>
        </w:rPr>
        <w:t xml:space="preserve">Come detto in </w:t>
      </w:r>
      <w:proofErr w:type="gramStart"/>
      <w:r>
        <w:rPr>
          <w:rFonts w:ascii="Arial" w:hAnsi="Arial" w:cs="Arial"/>
          <w:sz w:val="24"/>
          <w:szCs w:val="24"/>
        </w:rPr>
        <w:t>premessa ,</w:t>
      </w:r>
      <w:proofErr w:type="gramEnd"/>
      <w:r>
        <w:rPr>
          <w:rFonts w:ascii="Arial" w:hAnsi="Arial" w:cs="Arial"/>
          <w:sz w:val="24"/>
          <w:szCs w:val="24"/>
        </w:rPr>
        <w:t xml:space="preserve"> il presente studio ha la finalità di fornire un quadro dello stato di salute  della popolazione in esame. Lo studio di tipo geografico non permette di stabilire sicuri nessi di causalità tra l’esposizione ad inquinanti ambientali e stato di salute della popolazione, bensì può essere suggestivo che dette esposizioni possano costituire una eventuale concausa. </w:t>
      </w:r>
    </w:p>
    <w:p w:rsidR="00257429" w:rsidRDefault="00D66386" w:rsidP="00257429">
      <w:pPr>
        <w:spacing w:before="120" w:after="120" w:line="360" w:lineRule="auto"/>
        <w:jc w:val="both"/>
        <w:rPr>
          <w:rFonts w:ascii="Arial" w:hAnsi="Arial" w:cs="Arial"/>
          <w:sz w:val="24"/>
          <w:szCs w:val="24"/>
        </w:rPr>
      </w:pPr>
      <w:r w:rsidRPr="0090267E">
        <w:rPr>
          <w:rFonts w:ascii="Arial" w:hAnsi="Arial" w:cs="Arial"/>
          <w:sz w:val="24"/>
          <w:szCs w:val="24"/>
        </w:rPr>
        <w:t xml:space="preserve">Il profilo di salute dei residenti nelle aree interessate alla concessione estrattiva non sembra essere critico. Degna di attenzione, però, è la situazione riguardante le malattie del sistema circolatorio, delle malattie dell’apparato respiratorio e di quello digerente, la cui epidemiologia vede tra i fattori di rischio noti gli stili di vita (quali il </w:t>
      </w:r>
      <w:proofErr w:type="gramStart"/>
      <w:r w:rsidRPr="0090267E">
        <w:rPr>
          <w:rFonts w:ascii="Arial" w:hAnsi="Arial" w:cs="Arial"/>
          <w:sz w:val="24"/>
          <w:szCs w:val="24"/>
        </w:rPr>
        <w:t>fumo ,</w:t>
      </w:r>
      <w:proofErr w:type="gramEnd"/>
      <w:r w:rsidRPr="0090267E">
        <w:rPr>
          <w:rFonts w:ascii="Arial" w:hAnsi="Arial" w:cs="Arial"/>
          <w:sz w:val="24"/>
          <w:szCs w:val="24"/>
        </w:rPr>
        <w:t xml:space="preserve"> le abitudini alimentari, il consumo</w:t>
      </w:r>
      <w:r>
        <w:rPr>
          <w:rFonts w:ascii="Arial" w:hAnsi="Arial" w:cs="Arial"/>
          <w:sz w:val="24"/>
          <w:szCs w:val="24"/>
        </w:rPr>
        <w:t xml:space="preserve"> di alcol)</w:t>
      </w:r>
      <w:r w:rsidR="00257429">
        <w:rPr>
          <w:rFonts w:ascii="Arial" w:hAnsi="Arial" w:cs="Arial"/>
          <w:sz w:val="24"/>
          <w:szCs w:val="24"/>
        </w:rPr>
        <w:t>.</w:t>
      </w:r>
    </w:p>
    <w:p w:rsidR="00257429" w:rsidRDefault="00257429" w:rsidP="00257429">
      <w:pPr>
        <w:spacing w:before="120" w:after="120" w:line="360" w:lineRule="auto"/>
        <w:jc w:val="both"/>
        <w:rPr>
          <w:rFonts w:ascii="Arial" w:hAnsi="Arial" w:cs="Arial"/>
          <w:sz w:val="24"/>
          <w:szCs w:val="24"/>
        </w:rPr>
      </w:pPr>
    </w:p>
    <w:p w:rsidR="00257429" w:rsidRPr="0090267E" w:rsidRDefault="00257429" w:rsidP="00257429">
      <w:pPr>
        <w:spacing w:before="120" w:after="120" w:line="360" w:lineRule="auto"/>
        <w:jc w:val="both"/>
        <w:rPr>
          <w:rFonts w:ascii="Arial" w:hAnsi="Arial" w:cs="Arial"/>
          <w:b/>
          <w:sz w:val="24"/>
          <w:szCs w:val="24"/>
        </w:rPr>
      </w:pPr>
      <w:r w:rsidRPr="00257429">
        <w:rPr>
          <w:rFonts w:ascii="Arial" w:hAnsi="Arial" w:cs="Arial"/>
          <w:b/>
          <w:sz w:val="24"/>
          <w:szCs w:val="24"/>
        </w:rPr>
        <w:t xml:space="preserve"> </w:t>
      </w:r>
      <w:r w:rsidRPr="0090267E">
        <w:rPr>
          <w:rFonts w:ascii="Arial" w:hAnsi="Arial" w:cs="Arial"/>
          <w:b/>
          <w:sz w:val="24"/>
          <w:szCs w:val="24"/>
        </w:rPr>
        <w:t>Tutte le età</w:t>
      </w:r>
    </w:p>
    <w:p w:rsidR="00AE6590" w:rsidRPr="0090267E" w:rsidRDefault="00D66386" w:rsidP="00547675">
      <w:pPr>
        <w:spacing w:before="120" w:after="120" w:line="360" w:lineRule="auto"/>
        <w:jc w:val="both"/>
        <w:rPr>
          <w:rFonts w:ascii="Arial" w:hAnsi="Arial" w:cs="Arial"/>
          <w:sz w:val="24"/>
          <w:szCs w:val="24"/>
        </w:rPr>
      </w:pPr>
      <w:r>
        <w:rPr>
          <w:rFonts w:ascii="Arial" w:hAnsi="Arial" w:cs="Arial"/>
          <w:sz w:val="24"/>
          <w:szCs w:val="24"/>
        </w:rPr>
        <w:t xml:space="preserve">Ciò premesso, il quadro dello stato di salute della popolazione in esame ha evidenziato che per </w:t>
      </w:r>
      <w:r w:rsidR="00AE6590" w:rsidRPr="0090267E">
        <w:rPr>
          <w:rFonts w:ascii="Arial" w:hAnsi="Arial" w:cs="Arial"/>
          <w:sz w:val="24"/>
          <w:szCs w:val="24"/>
        </w:rPr>
        <w:t>entrambi i generi si osservano eccessi di mortalità per tumori maligni allo stomaco, per infarto del miocardio, per la malattie del sistema respiratorio nel loro complesso, per le malattie dell’apparato digerente nel loro complesso (ed, in particolare, per cirrosi e altre malattie croniche del fegato).</w:t>
      </w:r>
    </w:p>
    <w:p w:rsidR="00AE6590" w:rsidRPr="0090267E" w:rsidRDefault="00AE6590" w:rsidP="00547675">
      <w:pPr>
        <w:spacing w:before="120" w:after="120" w:line="360" w:lineRule="auto"/>
        <w:jc w:val="both"/>
        <w:rPr>
          <w:rFonts w:ascii="Arial" w:hAnsi="Arial" w:cs="Arial"/>
          <w:sz w:val="24"/>
          <w:szCs w:val="24"/>
        </w:rPr>
      </w:pPr>
      <w:r w:rsidRPr="0090267E">
        <w:rPr>
          <w:rFonts w:ascii="Arial" w:hAnsi="Arial" w:cs="Arial"/>
          <w:sz w:val="24"/>
          <w:szCs w:val="24"/>
        </w:rPr>
        <w:t>Per gli uomini residenti nei comuni oggetto di analisi si rilevano ulteriori eccessi per la mortalità generale, per leucemia linfoide (acuta e cronica</w:t>
      </w:r>
      <w:proofErr w:type="gramStart"/>
      <w:r w:rsidRPr="0090267E">
        <w:rPr>
          <w:rFonts w:ascii="Arial" w:hAnsi="Arial" w:cs="Arial"/>
          <w:sz w:val="24"/>
          <w:szCs w:val="24"/>
        </w:rPr>
        <w:t>)</w:t>
      </w:r>
      <w:r w:rsidR="00FB2651" w:rsidRPr="0090267E">
        <w:rPr>
          <w:rFonts w:ascii="Arial" w:hAnsi="Arial" w:cs="Arial"/>
          <w:sz w:val="24"/>
          <w:szCs w:val="24"/>
        </w:rPr>
        <w:t xml:space="preserve"> </w:t>
      </w:r>
      <w:r w:rsidRPr="0090267E">
        <w:rPr>
          <w:rFonts w:ascii="Arial" w:hAnsi="Arial" w:cs="Arial"/>
          <w:sz w:val="24"/>
          <w:szCs w:val="24"/>
        </w:rPr>
        <w:t>,</w:t>
      </w:r>
      <w:proofErr w:type="gramEnd"/>
      <w:r w:rsidRPr="0090267E">
        <w:rPr>
          <w:rFonts w:ascii="Arial" w:hAnsi="Arial" w:cs="Arial"/>
          <w:sz w:val="24"/>
          <w:szCs w:val="24"/>
        </w:rPr>
        <w:t xml:space="preserve"> per diabete mellito insulino-dipendente, per le malattie del sistema circolatorio nel loro complesso (ed, in particolare, per le cardiopatie ischemiche), per le malattie respiratorie croniche, per sintomi, segni e risultati anormali di esami clinici e di laboratorio, non classificati altrove e per cause esterne. Non si osservano difetti di mortalità</w:t>
      </w:r>
      <w:r w:rsidR="007C4029" w:rsidRPr="0090267E">
        <w:rPr>
          <w:rFonts w:ascii="Arial" w:hAnsi="Arial" w:cs="Arial"/>
          <w:sz w:val="24"/>
          <w:szCs w:val="24"/>
        </w:rPr>
        <w:t>.</w:t>
      </w:r>
    </w:p>
    <w:p w:rsidR="007C4029" w:rsidRPr="0090267E" w:rsidRDefault="00AE6590" w:rsidP="00547675">
      <w:pPr>
        <w:spacing w:before="120" w:after="120" w:line="360" w:lineRule="auto"/>
        <w:jc w:val="both"/>
        <w:rPr>
          <w:rFonts w:ascii="Arial" w:hAnsi="Arial" w:cs="Arial"/>
          <w:sz w:val="24"/>
          <w:szCs w:val="24"/>
        </w:rPr>
      </w:pPr>
      <w:r w:rsidRPr="0090267E">
        <w:rPr>
          <w:rFonts w:ascii="Arial" w:hAnsi="Arial" w:cs="Arial"/>
          <w:sz w:val="24"/>
          <w:szCs w:val="24"/>
        </w:rPr>
        <w:t>Per le donne si riscontrano ulteriori eccessi di mortalità per le malattie respiratorie acute. Si rileva un solo difetto per sintomi, segni e risultati anormali di esami clinici e di laboratorio, non classificati altrove</w:t>
      </w:r>
      <w:r w:rsidR="007C4029" w:rsidRPr="0090267E">
        <w:rPr>
          <w:rFonts w:ascii="Arial" w:hAnsi="Arial" w:cs="Arial"/>
          <w:sz w:val="24"/>
          <w:szCs w:val="24"/>
        </w:rPr>
        <w:t>.</w:t>
      </w:r>
    </w:p>
    <w:p w:rsidR="000024EE" w:rsidRPr="0090267E" w:rsidRDefault="000024EE" w:rsidP="000024EE">
      <w:pPr>
        <w:spacing w:before="120" w:after="120" w:line="360" w:lineRule="auto"/>
        <w:jc w:val="both"/>
        <w:rPr>
          <w:rFonts w:ascii="Arial" w:hAnsi="Arial" w:cs="Arial"/>
          <w:b/>
          <w:sz w:val="24"/>
          <w:szCs w:val="24"/>
        </w:rPr>
      </w:pPr>
      <w:r w:rsidRPr="0090267E">
        <w:rPr>
          <w:rFonts w:ascii="Arial" w:hAnsi="Arial" w:cs="Arial"/>
          <w:b/>
          <w:sz w:val="24"/>
          <w:szCs w:val="24"/>
        </w:rPr>
        <w:t>Età pediatrica (0-14)</w:t>
      </w:r>
    </w:p>
    <w:p w:rsidR="000024EE" w:rsidRPr="0090267E" w:rsidRDefault="00EA4784" w:rsidP="000024EE">
      <w:pPr>
        <w:spacing w:before="120" w:after="120" w:line="360" w:lineRule="auto"/>
        <w:jc w:val="both"/>
        <w:rPr>
          <w:rFonts w:ascii="Arial" w:hAnsi="Arial" w:cs="Arial"/>
          <w:sz w:val="24"/>
          <w:szCs w:val="24"/>
        </w:rPr>
      </w:pPr>
      <w:r w:rsidRPr="0090267E">
        <w:rPr>
          <w:rFonts w:ascii="Arial" w:hAnsi="Arial" w:cs="Arial"/>
          <w:sz w:val="24"/>
          <w:szCs w:val="24"/>
        </w:rPr>
        <w:t>Risultano 8 decessi durante i 6 anni analizzati e nessuno di essi provocato da una delle cause analizzate per questo studio</w:t>
      </w:r>
      <w:r w:rsidR="0033642A" w:rsidRPr="0090267E">
        <w:rPr>
          <w:rFonts w:ascii="Arial" w:hAnsi="Arial" w:cs="Arial"/>
          <w:sz w:val="24"/>
          <w:szCs w:val="24"/>
        </w:rPr>
        <w:t>.</w:t>
      </w:r>
    </w:p>
    <w:p w:rsidR="007C4029" w:rsidRPr="0090267E" w:rsidRDefault="007C4029" w:rsidP="00CC330B">
      <w:pPr>
        <w:spacing w:before="120" w:after="120" w:line="360" w:lineRule="auto"/>
        <w:jc w:val="both"/>
        <w:rPr>
          <w:rFonts w:ascii="Arial" w:hAnsi="Arial" w:cs="Arial"/>
          <w:sz w:val="24"/>
          <w:szCs w:val="24"/>
        </w:rPr>
      </w:pPr>
    </w:p>
    <w:p w:rsidR="003C1ABE" w:rsidRPr="0090267E" w:rsidRDefault="003C1ABE" w:rsidP="00CC330B">
      <w:pPr>
        <w:spacing w:before="120" w:after="120" w:line="360" w:lineRule="auto"/>
        <w:jc w:val="both"/>
        <w:rPr>
          <w:rFonts w:ascii="Arial" w:hAnsi="Arial" w:cs="Arial"/>
          <w:sz w:val="24"/>
          <w:szCs w:val="24"/>
        </w:rPr>
      </w:pPr>
      <w:r w:rsidRPr="0090267E">
        <w:rPr>
          <w:rFonts w:ascii="Arial" w:hAnsi="Arial" w:cs="Arial"/>
          <w:sz w:val="24"/>
          <w:szCs w:val="24"/>
        </w:rPr>
        <w:t>Seguono le due tabelle</w:t>
      </w:r>
      <w:r w:rsidR="002F0C11" w:rsidRPr="0090267E">
        <w:rPr>
          <w:rFonts w:ascii="Arial" w:hAnsi="Arial" w:cs="Arial"/>
          <w:sz w:val="24"/>
          <w:szCs w:val="24"/>
        </w:rPr>
        <w:t xml:space="preserve">, </w:t>
      </w:r>
      <w:r w:rsidRPr="0090267E">
        <w:rPr>
          <w:rFonts w:ascii="Arial" w:hAnsi="Arial" w:cs="Arial"/>
          <w:sz w:val="24"/>
          <w:szCs w:val="24"/>
        </w:rPr>
        <w:t>che contengono i risultati dell’analisi della mortalità</w:t>
      </w:r>
      <w:r w:rsidR="002F0C11" w:rsidRPr="0090267E">
        <w:rPr>
          <w:rFonts w:ascii="Arial" w:hAnsi="Arial" w:cs="Arial"/>
          <w:sz w:val="24"/>
          <w:szCs w:val="24"/>
        </w:rPr>
        <w:t>, rispettivamente per tutte le età e per la sola età pediatrica.</w:t>
      </w:r>
    </w:p>
    <w:p w:rsidR="00177037" w:rsidRDefault="00177037" w:rsidP="00171962">
      <w:pPr>
        <w:jc w:val="both"/>
        <w:rPr>
          <w:rFonts w:ascii="Arial" w:hAnsi="Arial" w:cs="Arial"/>
          <w:sz w:val="18"/>
          <w:szCs w:val="18"/>
        </w:rPr>
      </w:pPr>
      <w:r w:rsidRPr="00B578D9">
        <w:rPr>
          <w:rFonts w:ascii="Arial" w:hAnsi="Arial" w:cs="Arial"/>
          <w:sz w:val="18"/>
          <w:szCs w:val="18"/>
        </w:rPr>
        <w:t xml:space="preserve"> </w:t>
      </w:r>
    </w:p>
    <w:p w:rsidR="001D43A2" w:rsidRDefault="001D43A2" w:rsidP="00265BF8">
      <w:pPr>
        <w:jc w:val="center"/>
        <w:rPr>
          <w:rFonts w:ascii="Arial" w:hAnsi="Arial" w:cs="Arial"/>
          <w:b/>
          <w:bCs/>
          <w:color w:val="00B0F0"/>
          <w:sz w:val="24"/>
          <w:szCs w:val="24"/>
        </w:rPr>
        <w:sectPr w:rsidR="001D43A2" w:rsidSect="0090267E">
          <w:headerReference w:type="default" r:id="rId32"/>
          <w:footerReference w:type="default" r:id="rId33"/>
          <w:pgSz w:w="11905" w:h="16837"/>
          <w:pgMar w:top="1242" w:right="1008" w:bottom="1418" w:left="1008" w:header="426" w:footer="403" w:gutter="0"/>
          <w:pgNumType w:start="1"/>
          <w:cols w:space="720"/>
        </w:sectPr>
      </w:pPr>
    </w:p>
    <w:p w:rsidR="009F756A" w:rsidRDefault="009F756A" w:rsidP="00265BF8">
      <w:pPr>
        <w:jc w:val="center"/>
        <w:rPr>
          <w:rFonts w:ascii="Arial" w:hAnsi="Arial" w:cs="Arial"/>
          <w:b/>
          <w:bCs/>
          <w:sz w:val="24"/>
          <w:szCs w:val="24"/>
        </w:rPr>
      </w:pPr>
    </w:p>
    <w:p w:rsidR="00265BF8" w:rsidRPr="00A936F2" w:rsidRDefault="00265BF8" w:rsidP="00265BF8">
      <w:pPr>
        <w:jc w:val="center"/>
        <w:rPr>
          <w:rFonts w:ascii="Arial" w:hAnsi="Arial" w:cs="Arial"/>
          <w:b/>
          <w:bCs/>
          <w:sz w:val="24"/>
          <w:szCs w:val="24"/>
        </w:rPr>
      </w:pPr>
      <w:r w:rsidRPr="00A936F2">
        <w:rPr>
          <w:rFonts w:ascii="Arial" w:hAnsi="Arial" w:cs="Arial"/>
          <w:b/>
          <w:bCs/>
          <w:sz w:val="24"/>
          <w:szCs w:val="24"/>
        </w:rPr>
        <w:t>Mortalità 2003-20</w:t>
      </w:r>
      <w:r w:rsidR="009F575E" w:rsidRPr="00A936F2">
        <w:rPr>
          <w:rFonts w:ascii="Arial" w:hAnsi="Arial" w:cs="Arial"/>
          <w:b/>
          <w:bCs/>
          <w:sz w:val="24"/>
          <w:szCs w:val="24"/>
        </w:rPr>
        <w:t>10</w:t>
      </w:r>
      <w:r w:rsidRPr="00A936F2">
        <w:rPr>
          <w:rFonts w:ascii="Arial" w:hAnsi="Arial" w:cs="Arial"/>
          <w:b/>
          <w:bCs/>
          <w:sz w:val="24"/>
          <w:szCs w:val="24"/>
        </w:rPr>
        <w:t xml:space="preserve"> Uomini e Donne</w:t>
      </w:r>
      <w:r w:rsidR="00FB20A6" w:rsidRPr="00A936F2">
        <w:rPr>
          <w:rFonts w:ascii="Arial" w:hAnsi="Arial" w:cs="Arial"/>
          <w:b/>
          <w:bCs/>
          <w:sz w:val="24"/>
          <w:szCs w:val="24"/>
        </w:rPr>
        <w:t xml:space="preserve"> – tutte le età</w:t>
      </w:r>
    </w:p>
    <w:p w:rsidR="00265BF8" w:rsidRDefault="003B3037" w:rsidP="00E35595">
      <w:pPr>
        <w:jc w:val="center"/>
        <w:rPr>
          <w:sz w:val="12"/>
          <w:szCs w:val="12"/>
        </w:rPr>
      </w:pPr>
      <w:r w:rsidRPr="00893ADF">
        <w:rPr>
          <w:rFonts w:ascii="Arial" w:hAnsi="Arial" w:cs="Arial"/>
          <w:bCs/>
          <w:color w:val="000000"/>
          <w:sz w:val="12"/>
          <w:szCs w:val="12"/>
        </w:rPr>
        <w:t xml:space="preserve">2004-2005 non </w:t>
      </w:r>
      <w:r>
        <w:rPr>
          <w:rFonts w:ascii="Arial" w:hAnsi="Arial" w:cs="Arial"/>
          <w:bCs/>
          <w:color w:val="000000"/>
          <w:sz w:val="12"/>
          <w:szCs w:val="12"/>
        </w:rPr>
        <w:t>resi disponibili</w:t>
      </w:r>
      <w:r w:rsidRPr="00893ADF">
        <w:rPr>
          <w:rFonts w:ascii="Arial" w:hAnsi="Arial" w:cs="Arial"/>
          <w:bCs/>
          <w:color w:val="000000"/>
          <w:sz w:val="12"/>
          <w:szCs w:val="12"/>
        </w:rPr>
        <w:t xml:space="preserve"> dall’ISTAT</w:t>
      </w:r>
    </w:p>
    <w:p w:rsidR="00E35595" w:rsidRDefault="00E35595" w:rsidP="00E35595">
      <w:pPr>
        <w:jc w:val="center"/>
        <w:rPr>
          <w:sz w:val="12"/>
          <w:szCs w:val="12"/>
        </w:rPr>
      </w:pPr>
    </w:p>
    <w:tbl>
      <w:tblPr>
        <w:tblStyle w:val="Stile1"/>
        <w:tblW w:w="0" w:type="auto"/>
        <w:tblLook w:val="0020" w:firstRow="1" w:lastRow="0" w:firstColumn="0" w:lastColumn="0" w:noHBand="0" w:noVBand="0"/>
      </w:tblPr>
      <w:tblGrid>
        <w:gridCol w:w="5110"/>
        <w:gridCol w:w="946"/>
        <w:gridCol w:w="1408"/>
        <w:gridCol w:w="946"/>
        <w:gridCol w:w="1408"/>
      </w:tblGrid>
      <w:tr w:rsidR="00FB20A6" w:rsidRPr="006D3769" w:rsidTr="00547675">
        <w:trPr>
          <w:cnfStyle w:val="100000000000" w:firstRow="1" w:lastRow="0" w:firstColumn="0" w:lastColumn="0" w:oddVBand="0" w:evenVBand="0" w:oddHBand="0" w:evenHBand="0" w:firstRowFirstColumn="0" w:firstRowLastColumn="0" w:lastRowFirstColumn="0" w:lastRowLastColumn="0"/>
        </w:trPr>
        <w:tc>
          <w:tcPr>
            <w:tcW w:w="5110" w:type="dxa"/>
            <w:vMerge w:val="restart"/>
            <w:shd w:val="clear" w:color="auto" w:fill="FFFF99"/>
            <w:vAlign w:val="center"/>
          </w:tcPr>
          <w:p w:rsidR="00FB20A6" w:rsidRPr="006D3769" w:rsidRDefault="00FB20A6" w:rsidP="00FB20A6">
            <w:pPr>
              <w:keepNext/>
              <w:adjustRightInd w:val="0"/>
              <w:spacing w:before="18" w:after="18"/>
              <w:rPr>
                <w:rFonts w:cs="Arial"/>
                <w:b/>
                <w:bCs/>
                <w:color w:val="000000"/>
                <w:szCs w:val="16"/>
              </w:rPr>
            </w:pPr>
            <w:r w:rsidRPr="006D3769">
              <w:rPr>
                <w:rFonts w:cs="Arial"/>
                <w:b/>
                <w:bCs/>
                <w:color w:val="000000"/>
                <w:szCs w:val="16"/>
              </w:rPr>
              <w:t>Causa</w:t>
            </w:r>
          </w:p>
        </w:tc>
        <w:tc>
          <w:tcPr>
            <w:tcW w:w="0" w:type="auto"/>
            <w:gridSpan w:val="2"/>
            <w:shd w:val="clear" w:color="auto" w:fill="FFFF99"/>
            <w:vAlign w:val="center"/>
          </w:tcPr>
          <w:p w:rsidR="00FB20A6" w:rsidRPr="006D3769" w:rsidRDefault="00FB20A6" w:rsidP="00FB20A6">
            <w:pPr>
              <w:keepNext/>
              <w:adjustRightInd w:val="0"/>
              <w:spacing w:before="18" w:after="18"/>
              <w:jc w:val="center"/>
              <w:rPr>
                <w:rFonts w:cs="Arial"/>
                <w:b/>
                <w:bCs/>
                <w:color w:val="000000"/>
                <w:szCs w:val="16"/>
              </w:rPr>
            </w:pPr>
            <w:r w:rsidRPr="006D3769">
              <w:rPr>
                <w:rFonts w:cs="Arial"/>
                <w:b/>
                <w:bCs/>
                <w:color w:val="000000"/>
                <w:szCs w:val="16"/>
              </w:rPr>
              <w:t>Uomini</w:t>
            </w:r>
          </w:p>
        </w:tc>
        <w:tc>
          <w:tcPr>
            <w:tcW w:w="0" w:type="auto"/>
            <w:gridSpan w:val="2"/>
            <w:shd w:val="clear" w:color="auto" w:fill="FFFF99"/>
            <w:vAlign w:val="center"/>
          </w:tcPr>
          <w:p w:rsidR="00FB20A6" w:rsidRPr="006D3769" w:rsidRDefault="00FB20A6" w:rsidP="00FB20A6">
            <w:pPr>
              <w:keepNext/>
              <w:adjustRightInd w:val="0"/>
              <w:spacing w:before="18" w:after="18"/>
              <w:jc w:val="center"/>
              <w:rPr>
                <w:rFonts w:cs="Arial"/>
                <w:b/>
                <w:bCs/>
                <w:color w:val="000000"/>
                <w:szCs w:val="16"/>
              </w:rPr>
            </w:pPr>
            <w:r w:rsidRPr="006D3769">
              <w:rPr>
                <w:rFonts w:cs="Arial"/>
                <w:b/>
                <w:bCs/>
                <w:color w:val="000000"/>
                <w:szCs w:val="16"/>
              </w:rPr>
              <w:t>Donne</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Merge/>
            <w:shd w:val="clear" w:color="auto" w:fill="FFFF99"/>
            <w:vAlign w:val="center"/>
          </w:tcPr>
          <w:p w:rsidR="00FB20A6" w:rsidRPr="006D3769" w:rsidRDefault="00FB20A6" w:rsidP="00FB20A6">
            <w:pPr>
              <w:keepNext/>
              <w:adjustRightInd w:val="0"/>
              <w:spacing w:before="18" w:after="18"/>
              <w:rPr>
                <w:rFonts w:cs="Arial"/>
                <w:b/>
                <w:bCs/>
                <w:color w:val="000000"/>
                <w:szCs w:val="16"/>
              </w:rPr>
            </w:pPr>
          </w:p>
        </w:tc>
        <w:tc>
          <w:tcPr>
            <w:tcW w:w="0" w:type="auto"/>
            <w:shd w:val="clear" w:color="auto" w:fill="FFFF99"/>
            <w:vAlign w:val="center"/>
          </w:tcPr>
          <w:p w:rsidR="00FB20A6" w:rsidRPr="006D3769" w:rsidRDefault="00FB20A6" w:rsidP="00FB20A6">
            <w:pPr>
              <w:keepNext/>
              <w:adjustRightInd w:val="0"/>
              <w:spacing w:before="18" w:after="18"/>
              <w:jc w:val="right"/>
              <w:rPr>
                <w:rFonts w:cs="Arial"/>
                <w:b/>
                <w:bCs/>
                <w:color w:val="000000"/>
                <w:szCs w:val="16"/>
              </w:rPr>
            </w:pPr>
            <w:r w:rsidRPr="006D3769">
              <w:rPr>
                <w:rFonts w:cs="Arial"/>
                <w:b/>
                <w:bCs/>
                <w:color w:val="000000"/>
                <w:szCs w:val="16"/>
              </w:rPr>
              <w:t>Osservati</w:t>
            </w:r>
          </w:p>
        </w:tc>
        <w:tc>
          <w:tcPr>
            <w:tcW w:w="0" w:type="auto"/>
            <w:shd w:val="clear" w:color="auto" w:fill="FFFF99"/>
            <w:vAlign w:val="center"/>
          </w:tcPr>
          <w:p w:rsidR="00FB20A6" w:rsidRPr="006D3769" w:rsidRDefault="00FB20A6" w:rsidP="00FB20A6">
            <w:pPr>
              <w:keepNext/>
              <w:adjustRightInd w:val="0"/>
              <w:spacing w:before="18" w:after="18"/>
              <w:jc w:val="center"/>
              <w:rPr>
                <w:rFonts w:cs="Arial"/>
                <w:b/>
                <w:bCs/>
                <w:color w:val="000000"/>
                <w:szCs w:val="16"/>
              </w:rPr>
            </w:pPr>
            <w:r w:rsidRPr="006D3769">
              <w:rPr>
                <w:rFonts w:cs="Arial"/>
                <w:b/>
                <w:bCs/>
                <w:color w:val="000000"/>
                <w:szCs w:val="16"/>
              </w:rPr>
              <w:t>SMR ID (IC90%)</w:t>
            </w:r>
          </w:p>
        </w:tc>
        <w:tc>
          <w:tcPr>
            <w:tcW w:w="0" w:type="auto"/>
            <w:shd w:val="clear" w:color="auto" w:fill="FFFF99"/>
            <w:vAlign w:val="center"/>
          </w:tcPr>
          <w:p w:rsidR="00FB20A6" w:rsidRPr="006D3769" w:rsidRDefault="00FB20A6" w:rsidP="00FB20A6">
            <w:pPr>
              <w:keepNext/>
              <w:adjustRightInd w:val="0"/>
              <w:spacing w:before="18" w:after="18"/>
              <w:jc w:val="right"/>
              <w:rPr>
                <w:rFonts w:cs="Arial"/>
                <w:b/>
                <w:bCs/>
                <w:color w:val="000000"/>
                <w:szCs w:val="16"/>
              </w:rPr>
            </w:pPr>
            <w:r w:rsidRPr="006D3769">
              <w:rPr>
                <w:rFonts w:cs="Arial"/>
                <w:b/>
                <w:bCs/>
                <w:color w:val="000000"/>
                <w:szCs w:val="16"/>
              </w:rPr>
              <w:t>Osservati</w:t>
            </w:r>
          </w:p>
        </w:tc>
        <w:tc>
          <w:tcPr>
            <w:tcW w:w="0" w:type="auto"/>
            <w:shd w:val="clear" w:color="auto" w:fill="FFFF99"/>
            <w:vAlign w:val="center"/>
          </w:tcPr>
          <w:p w:rsidR="00FB20A6" w:rsidRPr="006D3769" w:rsidRDefault="00FB20A6" w:rsidP="00FB20A6">
            <w:pPr>
              <w:keepNext/>
              <w:adjustRightInd w:val="0"/>
              <w:spacing w:before="18" w:after="18"/>
              <w:jc w:val="center"/>
              <w:rPr>
                <w:rFonts w:cs="Arial"/>
                <w:b/>
                <w:bCs/>
                <w:color w:val="000000"/>
                <w:szCs w:val="16"/>
              </w:rPr>
            </w:pPr>
            <w:r w:rsidRPr="006D3769">
              <w:rPr>
                <w:rFonts w:cs="Arial"/>
                <w:b/>
                <w:bCs/>
                <w:color w:val="000000"/>
                <w:szCs w:val="16"/>
              </w:rPr>
              <w:t>SMR ID (IC90%)</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MORTALITA' GENERALE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1689</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114 (110-119)</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1509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103 (99-107)</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Malattie infettive e parassitarie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122 (83-174)</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98 (64-144)</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Tubercolosi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88 (5-419)</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p>
        </w:tc>
        <w:tc>
          <w:tcPr>
            <w:tcW w:w="0" w:type="auto"/>
            <w:vAlign w:val="center"/>
          </w:tcPr>
          <w:p w:rsidR="00FB20A6" w:rsidRPr="009F575E" w:rsidRDefault="00FB20A6" w:rsidP="00FB20A6">
            <w:pPr>
              <w:adjustRightInd w:val="0"/>
              <w:spacing w:before="18" w:after="18"/>
              <w:jc w:val="center"/>
              <w:rPr>
                <w:rFonts w:cs="Arial"/>
                <w:color w:val="000000"/>
                <w:szCs w:val="16"/>
              </w:rPr>
            </w:pP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Epatite virale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119 (62-208)</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104 (54-181)</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Tutti i Tumori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461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106 (98-115)</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300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102 (93-113)</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dell'esofago</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106 (42-224)</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r w:rsidR="004C159B">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Tumore maligno dello stomaco</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51</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183 (143-231)</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35</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145 (107-192)</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colon-retto</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57</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120 (95-150)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89 (65-120)</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fegato e dei dotti biliari intraepatici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106 (80-137)</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100 (65-147)</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pancreas</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91 (56-140)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76 (45-121)</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laringe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124 (65-216)</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r w:rsidR="004C159B">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trachea, dei bronchi e del polmone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87</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93 (77-111)</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127 (84-184)</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Mesotelioma della pleura</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73 (4-345)</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r w:rsidR="004C159B">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Melanoma della pelle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37 (2-178)</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101 (28-262)</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tessuto connettivo e di altri tessuti molli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86 (4-409)</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r w:rsidR="004C159B">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mammella (F)</w:t>
            </w:r>
          </w:p>
        </w:tc>
        <w:tc>
          <w:tcPr>
            <w:tcW w:w="0" w:type="auto"/>
            <w:vAlign w:val="center"/>
          </w:tcPr>
          <w:p w:rsidR="00FB20A6" w:rsidRPr="009F575E" w:rsidRDefault="00FB20A6" w:rsidP="00FB20A6">
            <w:pPr>
              <w:adjustRightInd w:val="0"/>
              <w:spacing w:before="18" w:after="18"/>
              <w:jc w:val="right"/>
              <w:rPr>
                <w:rFonts w:cs="Arial"/>
                <w:color w:val="000000"/>
                <w:szCs w:val="16"/>
              </w:rPr>
            </w:pP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98 (74-129)</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cervice uterina (F)</w:t>
            </w:r>
          </w:p>
        </w:tc>
        <w:tc>
          <w:tcPr>
            <w:tcW w:w="0" w:type="auto"/>
            <w:vAlign w:val="center"/>
          </w:tcPr>
          <w:p w:rsidR="00FB20A6" w:rsidRPr="009F575E" w:rsidRDefault="00FB20A6" w:rsidP="00FB20A6">
            <w:pPr>
              <w:adjustRightInd w:val="0"/>
              <w:spacing w:before="18" w:after="18"/>
              <w:jc w:val="right"/>
              <w:rPr>
                <w:rFonts w:cs="Arial"/>
                <w:color w:val="000000"/>
                <w:szCs w:val="16"/>
              </w:rPr>
            </w:pP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102 (64-155)</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dell'ovaio e di altro e non specificato organo genitale femminile (F)</w:t>
            </w:r>
          </w:p>
        </w:tc>
        <w:tc>
          <w:tcPr>
            <w:tcW w:w="0" w:type="auto"/>
            <w:vAlign w:val="center"/>
          </w:tcPr>
          <w:p w:rsidR="00FB20A6" w:rsidRPr="009F575E" w:rsidRDefault="00FB20A6" w:rsidP="00FB20A6">
            <w:pPr>
              <w:adjustRightInd w:val="0"/>
              <w:spacing w:before="18" w:after="18"/>
              <w:jc w:val="right"/>
              <w:rPr>
                <w:rFonts w:cs="Arial"/>
                <w:color w:val="000000"/>
                <w:szCs w:val="16"/>
              </w:rPr>
            </w:pP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17</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121 (77-182)</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prostata (M)</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103 (78-134)</w:t>
            </w:r>
          </w:p>
        </w:tc>
        <w:tc>
          <w:tcPr>
            <w:tcW w:w="0" w:type="auto"/>
            <w:vAlign w:val="center"/>
          </w:tcPr>
          <w:p w:rsidR="00FB20A6" w:rsidRPr="009F575E" w:rsidRDefault="00FB20A6" w:rsidP="00FB20A6">
            <w:pPr>
              <w:adjustRightInd w:val="0"/>
              <w:spacing w:before="18" w:after="18"/>
              <w:jc w:val="right"/>
              <w:rPr>
                <w:rFonts w:cs="Arial"/>
                <w:color w:val="000000"/>
                <w:szCs w:val="16"/>
              </w:rPr>
            </w:pP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testicolo (M)</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220 (11-1045)</w:t>
            </w:r>
          </w:p>
        </w:tc>
        <w:tc>
          <w:tcPr>
            <w:tcW w:w="0" w:type="auto"/>
            <w:vAlign w:val="center"/>
          </w:tcPr>
          <w:p w:rsidR="00FB20A6" w:rsidRPr="009F575E" w:rsidRDefault="00FB20A6" w:rsidP="00FB20A6">
            <w:pPr>
              <w:adjustRightInd w:val="0"/>
              <w:spacing w:before="18" w:after="18"/>
              <w:jc w:val="right"/>
              <w:rPr>
                <w:rFonts w:cs="Arial"/>
                <w:color w:val="000000"/>
                <w:szCs w:val="16"/>
              </w:rPr>
            </w:pP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rene, dell'uretere e di altro e non specificato organo dell'apparato urinario</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73 (32-143)</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102 (40-215)</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della vescica</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126 (88-175)</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25 (1-118)</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del sistema nervoso centrale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87 (45-152)</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78 (34-153)</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Tumore maligno del tessuto linfatico, ematopoietico e tessuti correlati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107 (81-139)</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102 (71-143)</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xml:space="preserve">             Morbo di </w:t>
            </w:r>
            <w:proofErr w:type="spellStart"/>
            <w:r w:rsidRPr="009F575E">
              <w:rPr>
                <w:rFonts w:cs="Arial"/>
                <w:color w:val="000000"/>
                <w:szCs w:val="16"/>
              </w:rPr>
              <w:t>Hodgkin</w:t>
            </w:r>
            <w:proofErr w:type="spellEnd"/>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209 (37-657)</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77 (4-364)</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xml:space="preserve">             Linfomi non </w:t>
            </w:r>
            <w:proofErr w:type="spellStart"/>
            <w:r w:rsidRPr="009F575E">
              <w:rPr>
                <w:rFonts w:cs="Arial"/>
                <w:color w:val="000000"/>
                <w:szCs w:val="16"/>
              </w:rPr>
              <w:t>Hodgkin</w:t>
            </w:r>
            <w:proofErr w:type="spellEnd"/>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107 (58-181)</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66 (23-151)</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Mieloma multiplo e tumori immunoproliferativi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44 (12-113)</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120 (52-237)</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Leucemie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124 (86-173)</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112 (66-178)</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Leucemia linfoide (acuta e cronica)</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12</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173 (100-280)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125 (49-262)</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Leucemia mieloide (acuta e cronica)</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98 (53-167)</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119 (52-235)</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Diabete Mellito insulino-dipendente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72</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131 (107-159)</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98</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111 (93-131)</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Demenze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94 (66-132)</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114 (90-144)</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Malattia del motoneurone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90 (31-207)</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82 (22-213)</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Morbo di Parkinson</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69 (36-120)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8</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73 (36-131)</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Sclerosi multipla</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214 (11-1017)</w:t>
            </w:r>
          </w:p>
        </w:tc>
      </w:tr>
      <w:tr w:rsidR="009F7267" w:rsidRPr="006D3769" w:rsidTr="002F0C11">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9F7267" w:rsidRPr="009F575E" w:rsidRDefault="009F7267" w:rsidP="00FB20A6">
            <w:pPr>
              <w:adjustRightInd w:val="0"/>
              <w:spacing w:before="18" w:after="18"/>
              <w:rPr>
                <w:rFonts w:cs="Arial"/>
                <w:color w:val="000000"/>
                <w:szCs w:val="16"/>
              </w:rPr>
            </w:pPr>
            <w:r w:rsidRPr="009F575E">
              <w:rPr>
                <w:rFonts w:cs="Arial"/>
                <w:color w:val="000000"/>
                <w:szCs w:val="16"/>
              </w:rPr>
              <w:t>Epilessia</w:t>
            </w:r>
          </w:p>
        </w:tc>
        <w:tc>
          <w:tcPr>
            <w:tcW w:w="0" w:type="auto"/>
            <w:vAlign w:val="center"/>
          </w:tcPr>
          <w:p w:rsidR="009F7267" w:rsidRPr="009F575E" w:rsidRDefault="009F7267" w:rsidP="00FB20A6">
            <w:pPr>
              <w:adjustRightInd w:val="0"/>
              <w:spacing w:before="18" w:after="18"/>
              <w:jc w:val="right"/>
              <w:rPr>
                <w:rFonts w:cs="Arial"/>
                <w:color w:val="000000"/>
                <w:szCs w:val="16"/>
              </w:rPr>
            </w:pPr>
            <w:r w:rsidRPr="009F575E">
              <w:rPr>
                <w:rFonts w:cs="Arial"/>
                <w:color w:val="000000"/>
                <w:szCs w:val="16"/>
              </w:rPr>
              <w:t xml:space="preserve">   4</w:t>
            </w:r>
          </w:p>
        </w:tc>
        <w:tc>
          <w:tcPr>
            <w:tcW w:w="0" w:type="auto"/>
            <w:vAlign w:val="center"/>
          </w:tcPr>
          <w:p w:rsidR="009F7267" w:rsidRPr="009F575E" w:rsidRDefault="009F7267" w:rsidP="00FB20A6">
            <w:pPr>
              <w:adjustRightInd w:val="0"/>
              <w:spacing w:before="18" w:after="18"/>
              <w:jc w:val="center"/>
              <w:rPr>
                <w:rFonts w:cs="Arial"/>
                <w:color w:val="000000"/>
                <w:szCs w:val="16"/>
              </w:rPr>
            </w:pPr>
            <w:r w:rsidRPr="009F575E">
              <w:rPr>
                <w:rFonts w:cs="Arial"/>
                <w:color w:val="000000"/>
                <w:szCs w:val="16"/>
              </w:rPr>
              <w:t>201 (69-459)</w:t>
            </w:r>
          </w:p>
        </w:tc>
        <w:tc>
          <w:tcPr>
            <w:tcW w:w="0" w:type="auto"/>
          </w:tcPr>
          <w:p w:rsidR="009F7267" w:rsidRDefault="009F7267" w:rsidP="009F7267">
            <w:pPr>
              <w:jc w:val="right"/>
            </w:pPr>
            <w:r w:rsidRPr="0024543F">
              <w:rPr>
                <w:rFonts w:cs="Arial"/>
                <w:color w:val="000000"/>
                <w:szCs w:val="16"/>
              </w:rPr>
              <w:t>-</w:t>
            </w:r>
          </w:p>
        </w:tc>
        <w:tc>
          <w:tcPr>
            <w:tcW w:w="0" w:type="auto"/>
            <w:vAlign w:val="center"/>
          </w:tcPr>
          <w:p w:rsidR="009F7267" w:rsidRPr="009F575E" w:rsidRDefault="009F7267" w:rsidP="00FB20A6">
            <w:pPr>
              <w:adjustRightInd w:val="0"/>
              <w:spacing w:before="18" w:after="18"/>
              <w:jc w:val="center"/>
              <w:rPr>
                <w:rFonts w:cs="Arial"/>
                <w:color w:val="000000"/>
                <w:szCs w:val="16"/>
              </w:rPr>
            </w:pPr>
            <w:r w:rsidRPr="009F575E">
              <w:rPr>
                <w:rFonts w:cs="Arial"/>
                <w:color w:val="000000"/>
                <w:szCs w:val="16"/>
              </w:rPr>
              <w:t xml:space="preserve"> </w:t>
            </w:r>
          </w:p>
        </w:tc>
      </w:tr>
      <w:tr w:rsidR="009F7267" w:rsidRPr="006D3769" w:rsidTr="002F0C11">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9F7267" w:rsidRPr="009F575E" w:rsidRDefault="009F7267" w:rsidP="00FB20A6">
            <w:pPr>
              <w:adjustRightInd w:val="0"/>
              <w:spacing w:before="18" w:after="18"/>
              <w:rPr>
                <w:rFonts w:cs="Arial"/>
                <w:color w:val="000000"/>
                <w:szCs w:val="16"/>
              </w:rPr>
            </w:pPr>
            <w:r w:rsidRPr="009F575E">
              <w:rPr>
                <w:rFonts w:cs="Arial"/>
                <w:color w:val="000000"/>
                <w:szCs w:val="16"/>
              </w:rPr>
              <w:t>Polineuropatia non specificata</w:t>
            </w:r>
          </w:p>
        </w:tc>
        <w:tc>
          <w:tcPr>
            <w:tcW w:w="0" w:type="auto"/>
            <w:vAlign w:val="center"/>
          </w:tcPr>
          <w:p w:rsidR="009F7267" w:rsidRPr="009F575E" w:rsidRDefault="009F7267" w:rsidP="00FB20A6">
            <w:pPr>
              <w:adjustRightInd w:val="0"/>
              <w:spacing w:before="18" w:after="18"/>
              <w:jc w:val="right"/>
              <w:rPr>
                <w:rFonts w:cs="Arial"/>
                <w:color w:val="000000"/>
                <w:szCs w:val="16"/>
              </w:rPr>
            </w:pPr>
            <w:r>
              <w:rPr>
                <w:rFonts w:cs="Arial"/>
                <w:color w:val="000000"/>
                <w:szCs w:val="16"/>
              </w:rPr>
              <w:t>-</w:t>
            </w:r>
          </w:p>
        </w:tc>
        <w:tc>
          <w:tcPr>
            <w:tcW w:w="0" w:type="auto"/>
            <w:vAlign w:val="center"/>
          </w:tcPr>
          <w:p w:rsidR="009F7267" w:rsidRPr="009F575E" w:rsidRDefault="009F7267" w:rsidP="00FB20A6">
            <w:pPr>
              <w:adjustRightInd w:val="0"/>
              <w:spacing w:before="18" w:after="18"/>
              <w:jc w:val="center"/>
              <w:rPr>
                <w:rFonts w:cs="Arial"/>
                <w:color w:val="000000"/>
                <w:szCs w:val="16"/>
              </w:rPr>
            </w:pPr>
            <w:r w:rsidRPr="009F575E">
              <w:rPr>
                <w:rFonts w:cs="Arial"/>
                <w:color w:val="000000"/>
                <w:szCs w:val="16"/>
              </w:rPr>
              <w:t xml:space="preserve"> </w:t>
            </w:r>
          </w:p>
        </w:tc>
        <w:tc>
          <w:tcPr>
            <w:tcW w:w="0" w:type="auto"/>
          </w:tcPr>
          <w:p w:rsidR="009F7267" w:rsidRDefault="009F7267" w:rsidP="009F7267">
            <w:pPr>
              <w:jc w:val="right"/>
            </w:pPr>
            <w:r w:rsidRPr="0024543F">
              <w:rPr>
                <w:rFonts w:cs="Arial"/>
                <w:color w:val="000000"/>
                <w:szCs w:val="16"/>
              </w:rPr>
              <w:t>-</w:t>
            </w:r>
          </w:p>
        </w:tc>
        <w:tc>
          <w:tcPr>
            <w:tcW w:w="0" w:type="auto"/>
            <w:vAlign w:val="center"/>
          </w:tcPr>
          <w:p w:rsidR="009F7267" w:rsidRPr="009F575E" w:rsidRDefault="009F7267"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Malattie del sistema circolatorio</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635</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113 (105-120)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717</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102 (96-109)</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Malattia ipertensiva</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68</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95 (77-116)</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126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100 (85-115)</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Cardiopatie ischemiche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237</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124 (111-138)</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171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106 (93-121)</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Infarto miocardico</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144</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151 (131-174)</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84</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133 (110-159)</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Malattie cerebrovascolari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162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108 (95-124)</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225</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110 (98-122)</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Malattie sistema respiratorio</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167</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126 (110-143)</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104</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122 (103-143)</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AE6590" w:rsidRDefault="00FB20A6" w:rsidP="00FB20A6">
            <w:pPr>
              <w:adjustRightInd w:val="0"/>
              <w:spacing w:before="18" w:after="18"/>
              <w:rPr>
                <w:rFonts w:cs="Arial"/>
                <w:b/>
                <w:color w:val="000000"/>
                <w:szCs w:val="16"/>
              </w:rPr>
            </w:pPr>
            <w:r w:rsidRPr="00AE6590">
              <w:rPr>
                <w:rFonts w:cs="Arial"/>
                <w:b/>
                <w:color w:val="FF0000"/>
                <w:szCs w:val="16"/>
              </w:rPr>
              <w:t>      Malattie respiratorie acute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149 (98-219)</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21</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161 (108-232)</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Malattie respiratorie croniche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111</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129 (110-151)</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56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111 (88-138)</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Asma</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48 (2-226)</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218 (75-499)</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Pneumoconiosi</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72 (13-228)</w:t>
            </w:r>
          </w:p>
        </w:tc>
        <w:tc>
          <w:tcPr>
            <w:tcW w:w="0" w:type="auto"/>
            <w:vAlign w:val="center"/>
          </w:tcPr>
          <w:p w:rsidR="00FB20A6" w:rsidRPr="009F575E" w:rsidRDefault="009F7267" w:rsidP="009F7267">
            <w:pPr>
              <w:adjustRightInd w:val="0"/>
              <w:spacing w:before="18" w:after="18"/>
              <w:jc w:val="right"/>
              <w:rPr>
                <w:rFonts w:cs="Arial"/>
                <w:color w:val="000000"/>
                <w:szCs w:val="16"/>
              </w:rPr>
            </w:pPr>
            <w:r>
              <w:rPr>
                <w:rFonts w:cs="Arial"/>
                <w:color w:val="000000"/>
                <w:szCs w:val="16"/>
              </w:rPr>
              <w:t>-</w:t>
            </w:r>
            <w:r w:rsidR="004C159B">
              <w:rPr>
                <w:rFonts w:cs="Arial"/>
                <w:color w:val="000000"/>
                <w:szCs w:val="16"/>
              </w:rPr>
              <w:t xml:space="preserve">   </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Malattie dell'apparato digerente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86</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122 (101-146)</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76</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132 (108-159)</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      Cirrosi e altre malattie croniche del fegato</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46</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135 (104-172)</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28</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148 (105-203)</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Malattie dell'apparato genitourinario</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27</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117 (82-161)</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23</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96 (66-136)</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Nefrosi</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p>
        </w:tc>
        <w:tc>
          <w:tcPr>
            <w:tcW w:w="0" w:type="auto"/>
            <w:vAlign w:val="center"/>
          </w:tcPr>
          <w:p w:rsidR="00FB20A6" w:rsidRPr="009F575E" w:rsidRDefault="00FB20A6" w:rsidP="00FB20A6">
            <w:pPr>
              <w:adjustRightInd w:val="0"/>
              <w:spacing w:before="18" w:after="18"/>
              <w:jc w:val="center"/>
              <w:rPr>
                <w:rFonts w:cs="Arial"/>
                <w:color w:val="000000"/>
                <w:szCs w:val="16"/>
              </w:rPr>
            </w:pP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1</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181 (9-859)</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      Insufficienza renale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108 (72-157)</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20</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94 (62-136)</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Alcune condizioni morbose che hanno origine nel periodo perinatale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101 (18-318)</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2</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150 (27-471)</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9F575E" w:rsidRDefault="00FB20A6" w:rsidP="00FB20A6">
            <w:pPr>
              <w:adjustRightInd w:val="0"/>
              <w:spacing w:before="18" w:after="18"/>
              <w:rPr>
                <w:rFonts w:cs="Arial"/>
                <w:color w:val="000000"/>
                <w:szCs w:val="16"/>
              </w:rPr>
            </w:pPr>
            <w:r w:rsidRPr="009F575E">
              <w:rPr>
                <w:rFonts w:cs="Arial"/>
                <w:color w:val="000000"/>
                <w:szCs w:val="16"/>
              </w:rPr>
              <w:t>Malformazioni e deformazioni congenite, anomalie cromosomiche</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6</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194 (84-383)</w:t>
            </w:r>
          </w:p>
        </w:tc>
        <w:tc>
          <w:tcPr>
            <w:tcW w:w="0" w:type="auto"/>
            <w:vAlign w:val="center"/>
          </w:tcPr>
          <w:p w:rsidR="00FB20A6" w:rsidRPr="009F575E" w:rsidRDefault="009F7267" w:rsidP="00FB20A6">
            <w:pPr>
              <w:adjustRightInd w:val="0"/>
              <w:spacing w:before="18" w:after="18"/>
              <w:jc w:val="right"/>
              <w:rPr>
                <w:rFonts w:cs="Arial"/>
                <w:color w:val="000000"/>
                <w:szCs w:val="16"/>
              </w:rPr>
            </w:pPr>
            <w:r>
              <w:rPr>
                <w:rFonts w:cs="Arial"/>
                <w:color w:val="000000"/>
                <w:szCs w:val="16"/>
              </w:rPr>
              <w:t>-</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w:t>
            </w:r>
          </w:p>
        </w:tc>
      </w:tr>
      <w:tr w:rsidR="00FB20A6" w:rsidRPr="006D3769" w:rsidTr="00547675">
        <w:trPr>
          <w:cnfStyle w:val="000000010000" w:firstRow="0" w:lastRow="0" w:firstColumn="0" w:lastColumn="0" w:oddVBand="0" w:evenVBand="0" w:oddHBand="0" w:evenHBand="1" w:firstRowFirstColumn="0" w:firstRowLastColumn="0" w:lastRowFirstColumn="0" w:lastRowLastColumn="0"/>
        </w:trPr>
        <w:tc>
          <w:tcPr>
            <w:tcW w:w="5110" w:type="dxa"/>
            <w:vAlign w:val="center"/>
          </w:tcPr>
          <w:p w:rsidR="00FB20A6" w:rsidRPr="00D70034" w:rsidRDefault="00FB20A6" w:rsidP="00FB20A6">
            <w:pPr>
              <w:keepNext/>
              <w:adjustRightInd w:val="0"/>
              <w:spacing w:before="18" w:after="18"/>
              <w:rPr>
                <w:rFonts w:cs="Arial"/>
                <w:b/>
                <w:color w:val="FF0000"/>
                <w:szCs w:val="16"/>
              </w:rPr>
            </w:pPr>
            <w:r w:rsidRPr="00D70034">
              <w:rPr>
                <w:rFonts w:cs="Arial"/>
                <w:b/>
                <w:color w:val="000000" w:themeColor="text1"/>
                <w:szCs w:val="16"/>
              </w:rPr>
              <w:t>Sintomi, segni e risultati anormali di esami clinici e di laboratorio, non classificati altrove</w:t>
            </w:r>
          </w:p>
        </w:tc>
        <w:tc>
          <w:tcPr>
            <w:tcW w:w="0" w:type="auto"/>
            <w:vAlign w:val="center"/>
          </w:tcPr>
          <w:p w:rsidR="00FB20A6" w:rsidRPr="00D70034" w:rsidRDefault="00FB20A6" w:rsidP="00FB20A6">
            <w:pPr>
              <w:keepNext/>
              <w:adjustRightInd w:val="0"/>
              <w:spacing w:before="18" w:after="18"/>
              <w:jc w:val="right"/>
              <w:rPr>
                <w:rFonts w:cs="Arial"/>
                <w:b/>
                <w:color w:val="FF0000"/>
                <w:szCs w:val="16"/>
              </w:rPr>
            </w:pPr>
            <w:r w:rsidRPr="00D70034">
              <w:rPr>
                <w:rFonts w:cs="Arial"/>
                <w:b/>
                <w:color w:val="FF0000"/>
                <w:szCs w:val="16"/>
              </w:rPr>
              <w:t xml:space="preserve">  33</w:t>
            </w:r>
          </w:p>
        </w:tc>
        <w:tc>
          <w:tcPr>
            <w:tcW w:w="0" w:type="auto"/>
            <w:vAlign w:val="center"/>
          </w:tcPr>
          <w:p w:rsidR="00FB20A6" w:rsidRPr="00D70034" w:rsidRDefault="00FB20A6" w:rsidP="00FB20A6">
            <w:pPr>
              <w:keepNext/>
              <w:adjustRightInd w:val="0"/>
              <w:spacing w:before="18" w:after="18"/>
              <w:jc w:val="center"/>
              <w:rPr>
                <w:rFonts w:cs="Arial"/>
                <w:b/>
                <w:color w:val="FF0000"/>
                <w:szCs w:val="16"/>
              </w:rPr>
            </w:pPr>
            <w:r w:rsidRPr="00D70034">
              <w:rPr>
                <w:rFonts w:cs="Arial"/>
                <w:b/>
                <w:color w:val="FF0000"/>
                <w:szCs w:val="16"/>
              </w:rPr>
              <w:t>152 (111-203)</w:t>
            </w:r>
          </w:p>
        </w:tc>
        <w:tc>
          <w:tcPr>
            <w:tcW w:w="0" w:type="auto"/>
            <w:vAlign w:val="center"/>
          </w:tcPr>
          <w:p w:rsidR="00FB20A6" w:rsidRPr="00D70034" w:rsidRDefault="00FB20A6" w:rsidP="00FB20A6">
            <w:pPr>
              <w:keepNext/>
              <w:adjustRightInd w:val="0"/>
              <w:spacing w:before="18" w:after="18"/>
              <w:jc w:val="right"/>
              <w:rPr>
                <w:rFonts w:cs="Arial"/>
                <w:b/>
                <w:color w:val="0000FF"/>
                <w:szCs w:val="16"/>
              </w:rPr>
            </w:pPr>
            <w:r w:rsidRPr="00D70034">
              <w:rPr>
                <w:rFonts w:cs="Arial"/>
                <w:b/>
                <w:color w:val="0000FF"/>
                <w:szCs w:val="16"/>
              </w:rPr>
              <w:t xml:space="preserve">  13</w:t>
            </w:r>
          </w:p>
        </w:tc>
        <w:tc>
          <w:tcPr>
            <w:tcW w:w="0" w:type="auto"/>
            <w:vAlign w:val="center"/>
          </w:tcPr>
          <w:p w:rsidR="00FB20A6" w:rsidRPr="00D70034" w:rsidRDefault="00FB20A6" w:rsidP="00FB20A6">
            <w:pPr>
              <w:keepNext/>
              <w:adjustRightInd w:val="0"/>
              <w:spacing w:before="18" w:after="18"/>
              <w:jc w:val="center"/>
              <w:rPr>
                <w:rFonts w:cs="Arial"/>
                <w:b/>
                <w:color w:val="0000FF"/>
                <w:szCs w:val="16"/>
              </w:rPr>
            </w:pPr>
            <w:r w:rsidRPr="00D70034">
              <w:rPr>
                <w:rFonts w:cs="Arial"/>
                <w:b/>
                <w:color w:val="0000FF"/>
                <w:szCs w:val="16"/>
              </w:rPr>
              <w:t xml:space="preserve"> 47 (28-74)</w:t>
            </w:r>
          </w:p>
        </w:tc>
      </w:tr>
      <w:tr w:rsidR="00FB20A6" w:rsidRPr="006D3769" w:rsidTr="00547675">
        <w:trPr>
          <w:cnfStyle w:val="000000100000" w:firstRow="0" w:lastRow="0" w:firstColumn="0" w:lastColumn="0" w:oddVBand="0" w:evenVBand="0" w:oddHBand="1" w:evenHBand="0" w:firstRowFirstColumn="0" w:firstRowLastColumn="0" w:lastRowFirstColumn="0" w:lastRowLastColumn="0"/>
        </w:trPr>
        <w:tc>
          <w:tcPr>
            <w:tcW w:w="5110" w:type="dxa"/>
            <w:vAlign w:val="center"/>
          </w:tcPr>
          <w:p w:rsidR="00FB20A6" w:rsidRPr="00D70034" w:rsidRDefault="00FB20A6" w:rsidP="00FB20A6">
            <w:pPr>
              <w:adjustRightInd w:val="0"/>
              <w:spacing w:before="18" w:after="18"/>
              <w:rPr>
                <w:rFonts w:cs="Arial"/>
                <w:b/>
                <w:color w:val="FF0000"/>
                <w:szCs w:val="16"/>
              </w:rPr>
            </w:pPr>
            <w:r w:rsidRPr="00D70034">
              <w:rPr>
                <w:rFonts w:cs="Arial"/>
                <w:b/>
                <w:color w:val="FF0000"/>
                <w:szCs w:val="16"/>
              </w:rPr>
              <w:t>Cause esterne</w:t>
            </w:r>
          </w:p>
        </w:tc>
        <w:tc>
          <w:tcPr>
            <w:tcW w:w="0" w:type="auto"/>
            <w:vAlign w:val="center"/>
          </w:tcPr>
          <w:p w:rsidR="00FB20A6" w:rsidRPr="00D70034" w:rsidRDefault="00FB20A6" w:rsidP="00FB20A6">
            <w:pPr>
              <w:adjustRightInd w:val="0"/>
              <w:spacing w:before="18" w:after="18"/>
              <w:jc w:val="right"/>
              <w:rPr>
                <w:rFonts w:cs="Arial"/>
                <w:b/>
                <w:color w:val="FF0000"/>
                <w:szCs w:val="16"/>
              </w:rPr>
            </w:pPr>
            <w:r w:rsidRPr="00D70034">
              <w:rPr>
                <w:rFonts w:cs="Arial"/>
                <w:b/>
                <w:color w:val="FF0000"/>
                <w:szCs w:val="16"/>
              </w:rPr>
              <w:t xml:space="preserve">  89</w:t>
            </w:r>
          </w:p>
        </w:tc>
        <w:tc>
          <w:tcPr>
            <w:tcW w:w="0" w:type="auto"/>
            <w:vAlign w:val="center"/>
          </w:tcPr>
          <w:p w:rsidR="00FB20A6" w:rsidRPr="00D70034" w:rsidRDefault="00FB20A6" w:rsidP="00FB20A6">
            <w:pPr>
              <w:adjustRightInd w:val="0"/>
              <w:spacing w:before="18" w:after="18"/>
              <w:jc w:val="center"/>
              <w:rPr>
                <w:rFonts w:cs="Arial"/>
                <w:b/>
                <w:color w:val="FF0000"/>
                <w:szCs w:val="16"/>
              </w:rPr>
            </w:pPr>
            <w:r w:rsidRPr="00D70034">
              <w:rPr>
                <w:rFonts w:cs="Arial"/>
                <w:b/>
                <w:color w:val="FF0000"/>
                <w:szCs w:val="16"/>
              </w:rPr>
              <w:t>126 (105-150)</w:t>
            </w:r>
          </w:p>
        </w:tc>
        <w:tc>
          <w:tcPr>
            <w:tcW w:w="0" w:type="auto"/>
            <w:vAlign w:val="center"/>
          </w:tcPr>
          <w:p w:rsidR="00FB20A6" w:rsidRPr="009F575E" w:rsidRDefault="00FB20A6" w:rsidP="00FB20A6">
            <w:pPr>
              <w:adjustRightInd w:val="0"/>
              <w:spacing w:before="18" w:after="18"/>
              <w:jc w:val="right"/>
              <w:rPr>
                <w:rFonts w:cs="Arial"/>
                <w:color w:val="000000"/>
                <w:szCs w:val="16"/>
              </w:rPr>
            </w:pPr>
            <w:r w:rsidRPr="009F575E">
              <w:rPr>
                <w:rFonts w:cs="Arial"/>
                <w:color w:val="000000"/>
                <w:szCs w:val="16"/>
              </w:rPr>
              <w:t xml:space="preserve">  49</w:t>
            </w:r>
          </w:p>
        </w:tc>
        <w:tc>
          <w:tcPr>
            <w:tcW w:w="0" w:type="auto"/>
            <w:vAlign w:val="center"/>
          </w:tcPr>
          <w:p w:rsidR="00FB20A6" w:rsidRPr="009F575E" w:rsidRDefault="00FB20A6" w:rsidP="00FB20A6">
            <w:pPr>
              <w:adjustRightInd w:val="0"/>
              <w:spacing w:before="18" w:after="18"/>
              <w:jc w:val="center"/>
              <w:rPr>
                <w:rFonts w:cs="Arial"/>
                <w:color w:val="000000"/>
                <w:szCs w:val="16"/>
              </w:rPr>
            </w:pPr>
            <w:r w:rsidRPr="009F575E">
              <w:rPr>
                <w:rFonts w:cs="Arial"/>
                <w:color w:val="000000"/>
                <w:szCs w:val="16"/>
              </w:rPr>
              <w:t xml:space="preserve"> 91 (71-116)</w:t>
            </w:r>
          </w:p>
        </w:tc>
      </w:tr>
    </w:tbl>
    <w:p w:rsidR="00FB20A6" w:rsidRDefault="00FB20A6"/>
    <w:p w:rsidR="007D2FD0" w:rsidRPr="00A936F2" w:rsidRDefault="007D2FD0" w:rsidP="007D2FD0">
      <w:pPr>
        <w:jc w:val="center"/>
        <w:rPr>
          <w:rFonts w:ascii="Arial" w:hAnsi="Arial" w:cs="Arial"/>
          <w:b/>
          <w:bCs/>
          <w:sz w:val="24"/>
          <w:szCs w:val="24"/>
        </w:rPr>
      </w:pPr>
      <w:r w:rsidRPr="00A936F2">
        <w:rPr>
          <w:rFonts w:ascii="Arial" w:hAnsi="Arial" w:cs="Arial"/>
          <w:b/>
          <w:bCs/>
          <w:sz w:val="24"/>
          <w:szCs w:val="24"/>
        </w:rPr>
        <w:t xml:space="preserve">Mortalità 2003-2010 </w:t>
      </w:r>
      <w:r w:rsidR="003C1ABE">
        <w:rPr>
          <w:rFonts w:ascii="Arial" w:hAnsi="Arial" w:cs="Arial"/>
          <w:b/>
          <w:bCs/>
          <w:sz w:val="24"/>
          <w:szCs w:val="24"/>
        </w:rPr>
        <w:t>E</w:t>
      </w:r>
      <w:r w:rsidRPr="00A936F2">
        <w:rPr>
          <w:rFonts w:ascii="Arial" w:hAnsi="Arial" w:cs="Arial"/>
          <w:b/>
          <w:bCs/>
          <w:sz w:val="24"/>
          <w:szCs w:val="24"/>
        </w:rPr>
        <w:t>tà pediatrica (0-14</w:t>
      </w:r>
      <w:r w:rsidR="00117C30">
        <w:rPr>
          <w:rFonts w:ascii="Arial" w:hAnsi="Arial" w:cs="Arial"/>
          <w:b/>
          <w:bCs/>
          <w:sz w:val="24"/>
          <w:szCs w:val="24"/>
        </w:rPr>
        <w:t xml:space="preserve"> anni</w:t>
      </w:r>
      <w:r w:rsidRPr="00A936F2">
        <w:rPr>
          <w:rFonts w:ascii="Arial" w:hAnsi="Arial" w:cs="Arial"/>
          <w:b/>
          <w:bCs/>
          <w:sz w:val="24"/>
          <w:szCs w:val="24"/>
        </w:rPr>
        <w:t>)</w:t>
      </w:r>
    </w:p>
    <w:p w:rsidR="00B156E5" w:rsidRDefault="007D2FD0" w:rsidP="007D2FD0">
      <w:pPr>
        <w:jc w:val="center"/>
        <w:rPr>
          <w:rFonts w:ascii="Arial" w:hAnsi="Arial" w:cs="Arial"/>
          <w:sz w:val="16"/>
          <w:szCs w:val="16"/>
        </w:rPr>
      </w:pPr>
      <w:r w:rsidRPr="00893ADF">
        <w:rPr>
          <w:rFonts w:ascii="Arial" w:hAnsi="Arial" w:cs="Arial"/>
          <w:bCs/>
          <w:color w:val="000000"/>
          <w:sz w:val="12"/>
          <w:szCs w:val="12"/>
        </w:rPr>
        <w:t xml:space="preserve">2004-2005 non </w:t>
      </w:r>
      <w:r>
        <w:rPr>
          <w:rFonts w:ascii="Arial" w:hAnsi="Arial" w:cs="Arial"/>
          <w:bCs/>
          <w:color w:val="000000"/>
          <w:sz w:val="12"/>
          <w:szCs w:val="12"/>
        </w:rPr>
        <w:t>resi disponibili</w:t>
      </w:r>
      <w:r w:rsidRPr="00893ADF">
        <w:rPr>
          <w:rFonts w:ascii="Arial" w:hAnsi="Arial" w:cs="Arial"/>
          <w:bCs/>
          <w:color w:val="000000"/>
          <w:sz w:val="12"/>
          <w:szCs w:val="12"/>
        </w:rPr>
        <w:t xml:space="preserve"> dall’ISTAT</w:t>
      </w:r>
    </w:p>
    <w:p w:rsidR="007D2FD0" w:rsidRDefault="007D2FD0" w:rsidP="00FB20A6">
      <w:pPr>
        <w:jc w:val="center"/>
        <w:rPr>
          <w:rFonts w:ascii="Arial" w:hAnsi="Arial" w:cs="Arial"/>
          <w:sz w:val="16"/>
          <w:szCs w:val="16"/>
        </w:rPr>
      </w:pPr>
    </w:p>
    <w:tbl>
      <w:tblPr>
        <w:tblStyle w:val="Stile1"/>
        <w:tblW w:w="0" w:type="auto"/>
        <w:jc w:val="center"/>
        <w:tblLook w:val="0020" w:firstRow="1" w:lastRow="0" w:firstColumn="0" w:lastColumn="0" w:noHBand="0" w:noVBand="0"/>
      </w:tblPr>
      <w:tblGrid>
        <w:gridCol w:w="5110"/>
        <w:gridCol w:w="946"/>
        <w:gridCol w:w="1408"/>
      </w:tblGrid>
      <w:tr w:rsidR="00F31002" w:rsidRPr="006D3769" w:rsidTr="00AA28F0">
        <w:trPr>
          <w:cnfStyle w:val="100000000000" w:firstRow="1" w:lastRow="0" w:firstColumn="0" w:lastColumn="0" w:oddVBand="0" w:evenVBand="0" w:oddHBand="0" w:evenHBand="0" w:firstRowFirstColumn="0" w:firstRowLastColumn="0" w:lastRowFirstColumn="0" w:lastRowLastColumn="0"/>
          <w:jc w:val="center"/>
        </w:trPr>
        <w:tc>
          <w:tcPr>
            <w:tcW w:w="5110" w:type="dxa"/>
            <w:vMerge w:val="restart"/>
            <w:shd w:val="clear" w:color="auto" w:fill="FFFF99"/>
            <w:vAlign w:val="center"/>
          </w:tcPr>
          <w:p w:rsidR="00F31002" w:rsidRPr="006D3769" w:rsidRDefault="00F31002" w:rsidP="00F31002">
            <w:pPr>
              <w:keepNext/>
              <w:adjustRightInd w:val="0"/>
              <w:spacing w:before="18" w:after="18"/>
              <w:rPr>
                <w:rFonts w:cs="Arial"/>
                <w:b/>
                <w:bCs/>
                <w:color w:val="000000"/>
                <w:szCs w:val="16"/>
              </w:rPr>
            </w:pPr>
            <w:r w:rsidRPr="006D3769">
              <w:rPr>
                <w:rFonts w:cs="Arial"/>
                <w:b/>
                <w:bCs/>
                <w:color w:val="000000"/>
                <w:szCs w:val="16"/>
              </w:rPr>
              <w:t>Causa</w:t>
            </w:r>
          </w:p>
        </w:tc>
        <w:tc>
          <w:tcPr>
            <w:tcW w:w="0" w:type="auto"/>
            <w:gridSpan w:val="2"/>
            <w:shd w:val="clear" w:color="auto" w:fill="FFFF99"/>
            <w:vAlign w:val="center"/>
          </w:tcPr>
          <w:p w:rsidR="00F31002" w:rsidRPr="006D3769" w:rsidRDefault="00F31002" w:rsidP="00F31002">
            <w:pPr>
              <w:keepNext/>
              <w:adjustRightInd w:val="0"/>
              <w:spacing w:before="18" w:after="18"/>
              <w:jc w:val="center"/>
              <w:rPr>
                <w:rFonts w:cs="Arial"/>
                <w:b/>
                <w:bCs/>
                <w:color w:val="000000"/>
                <w:szCs w:val="16"/>
              </w:rPr>
            </w:pPr>
            <w:proofErr w:type="spellStart"/>
            <w:r>
              <w:rPr>
                <w:rFonts w:cs="Arial"/>
                <w:b/>
                <w:bCs/>
                <w:color w:val="000000"/>
                <w:szCs w:val="16"/>
              </w:rPr>
              <w:t>Maschi+Femmine</w:t>
            </w:r>
            <w:proofErr w:type="spellEnd"/>
          </w:p>
        </w:tc>
      </w:tr>
      <w:tr w:rsidR="00F31002" w:rsidRPr="006D3769" w:rsidTr="00AA28F0">
        <w:trPr>
          <w:cnfStyle w:val="000000100000" w:firstRow="0" w:lastRow="0" w:firstColumn="0" w:lastColumn="0" w:oddVBand="0" w:evenVBand="0" w:oddHBand="1" w:evenHBand="0" w:firstRowFirstColumn="0" w:firstRowLastColumn="0" w:lastRowFirstColumn="0" w:lastRowLastColumn="0"/>
          <w:jc w:val="center"/>
        </w:trPr>
        <w:tc>
          <w:tcPr>
            <w:tcW w:w="5110" w:type="dxa"/>
            <w:vMerge/>
            <w:shd w:val="clear" w:color="auto" w:fill="FFFF99"/>
            <w:vAlign w:val="center"/>
          </w:tcPr>
          <w:p w:rsidR="00F31002" w:rsidRPr="006D3769" w:rsidRDefault="00F31002" w:rsidP="00F31002">
            <w:pPr>
              <w:keepNext/>
              <w:adjustRightInd w:val="0"/>
              <w:spacing w:before="18" w:after="18"/>
              <w:rPr>
                <w:rFonts w:cs="Arial"/>
                <w:b/>
                <w:bCs/>
                <w:color w:val="000000"/>
                <w:szCs w:val="16"/>
              </w:rPr>
            </w:pPr>
          </w:p>
        </w:tc>
        <w:tc>
          <w:tcPr>
            <w:tcW w:w="0" w:type="auto"/>
            <w:shd w:val="clear" w:color="auto" w:fill="FFFF99"/>
            <w:vAlign w:val="center"/>
          </w:tcPr>
          <w:p w:rsidR="00F31002" w:rsidRPr="006D3769" w:rsidRDefault="00F31002" w:rsidP="00F31002">
            <w:pPr>
              <w:keepNext/>
              <w:adjustRightInd w:val="0"/>
              <w:spacing w:before="18" w:after="18"/>
              <w:jc w:val="right"/>
              <w:rPr>
                <w:rFonts w:cs="Arial"/>
                <w:b/>
                <w:bCs/>
                <w:color w:val="000000"/>
                <w:szCs w:val="16"/>
              </w:rPr>
            </w:pPr>
            <w:r w:rsidRPr="006D3769">
              <w:rPr>
                <w:rFonts w:cs="Arial"/>
                <w:b/>
                <w:bCs/>
                <w:color w:val="000000"/>
                <w:szCs w:val="16"/>
              </w:rPr>
              <w:t>Osservati</w:t>
            </w:r>
          </w:p>
        </w:tc>
        <w:tc>
          <w:tcPr>
            <w:tcW w:w="0" w:type="auto"/>
            <w:shd w:val="clear" w:color="auto" w:fill="FFFF99"/>
            <w:vAlign w:val="center"/>
          </w:tcPr>
          <w:p w:rsidR="00F31002" w:rsidRPr="006D3769" w:rsidRDefault="00F31002" w:rsidP="00F31002">
            <w:pPr>
              <w:keepNext/>
              <w:adjustRightInd w:val="0"/>
              <w:spacing w:before="18" w:after="18"/>
              <w:jc w:val="center"/>
              <w:rPr>
                <w:rFonts w:cs="Arial"/>
                <w:b/>
                <w:bCs/>
                <w:color w:val="000000"/>
                <w:szCs w:val="16"/>
              </w:rPr>
            </w:pPr>
            <w:r w:rsidRPr="006D3769">
              <w:rPr>
                <w:rFonts w:cs="Arial"/>
                <w:b/>
                <w:bCs/>
                <w:color w:val="000000"/>
                <w:szCs w:val="16"/>
              </w:rPr>
              <w:t>SMR ID (IC90%)</w:t>
            </w:r>
          </w:p>
        </w:tc>
      </w:tr>
      <w:tr w:rsidR="00F31002" w:rsidRPr="009F575E" w:rsidTr="00AA28F0">
        <w:trPr>
          <w:cnfStyle w:val="000000010000" w:firstRow="0" w:lastRow="0" w:firstColumn="0" w:lastColumn="0" w:oddVBand="0" w:evenVBand="0" w:oddHBand="0" w:evenHBand="1" w:firstRowFirstColumn="0" w:firstRowLastColumn="0" w:lastRowFirstColumn="0" w:lastRowLastColumn="0"/>
          <w:jc w:val="center"/>
        </w:trPr>
        <w:tc>
          <w:tcPr>
            <w:tcW w:w="5110" w:type="dxa"/>
            <w:vAlign w:val="center"/>
          </w:tcPr>
          <w:p w:rsidR="00F31002" w:rsidRPr="002D6C04" w:rsidRDefault="00F31002" w:rsidP="00F31002">
            <w:pPr>
              <w:adjustRightInd w:val="0"/>
              <w:spacing w:before="18" w:after="18"/>
              <w:rPr>
                <w:rFonts w:cs="Arial"/>
                <w:szCs w:val="16"/>
              </w:rPr>
            </w:pPr>
            <w:r w:rsidRPr="002D6C04">
              <w:rPr>
                <w:rFonts w:cs="Arial"/>
                <w:szCs w:val="16"/>
              </w:rPr>
              <w:t>MORTALITA' GENERALE</w:t>
            </w:r>
          </w:p>
        </w:tc>
        <w:tc>
          <w:tcPr>
            <w:tcW w:w="0" w:type="auto"/>
            <w:vAlign w:val="center"/>
          </w:tcPr>
          <w:p w:rsidR="00F31002" w:rsidRPr="002D6C04" w:rsidRDefault="002D6C04" w:rsidP="00F31002">
            <w:pPr>
              <w:adjustRightInd w:val="0"/>
              <w:spacing w:before="18" w:after="18"/>
              <w:jc w:val="right"/>
              <w:rPr>
                <w:rFonts w:cs="Arial"/>
                <w:szCs w:val="16"/>
              </w:rPr>
            </w:pPr>
            <w:r w:rsidRPr="002D6C04">
              <w:rPr>
                <w:rFonts w:cs="Arial"/>
                <w:szCs w:val="16"/>
              </w:rPr>
              <w:t>8</w:t>
            </w:r>
          </w:p>
        </w:tc>
        <w:tc>
          <w:tcPr>
            <w:tcW w:w="0" w:type="auto"/>
            <w:vAlign w:val="center"/>
          </w:tcPr>
          <w:p w:rsidR="00F31002" w:rsidRPr="002D6C04" w:rsidRDefault="002D6C04" w:rsidP="00F31002">
            <w:pPr>
              <w:adjustRightInd w:val="0"/>
              <w:spacing w:before="18" w:after="18"/>
              <w:jc w:val="center"/>
              <w:rPr>
                <w:rFonts w:cs="Arial"/>
                <w:szCs w:val="16"/>
              </w:rPr>
            </w:pPr>
            <w:r w:rsidRPr="002D6C04">
              <w:rPr>
                <w:rFonts w:cs="Arial"/>
                <w:szCs w:val="16"/>
              </w:rPr>
              <w:t>88 (44-158)</w:t>
            </w:r>
          </w:p>
        </w:tc>
      </w:tr>
      <w:tr w:rsidR="009F7267" w:rsidRPr="009F575E" w:rsidTr="002F0C11">
        <w:trPr>
          <w:cnfStyle w:val="000000100000" w:firstRow="0" w:lastRow="0" w:firstColumn="0" w:lastColumn="0" w:oddVBand="0" w:evenVBand="0" w:oddHBand="1" w:evenHBand="0" w:firstRowFirstColumn="0" w:firstRowLastColumn="0" w:lastRowFirstColumn="0" w:lastRowLastColumn="0"/>
          <w:jc w:val="center"/>
        </w:trPr>
        <w:tc>
          <w:tcPr>
            <w:tcW w:w="5110" w:type="dxa"/>
          </w:tcPr>
          <w:p w:rsidR="009F7267" w:rsidRPr="00B62D3A" w:rsidRDefault="009F7267" w:rsidP="00F31002">
            <w:r w:rsidRPr="00B62D3A">
              <w:t>Tutti i Tumori</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9F575E" w:rsidRDefault="009F7267" w:rsidP="00F31002">
            <w:pPr>
              <w:adjustRightInd w:val="0"/>
              <w:spacing w:before="18" w:after="18"/>
              <w:jc w:val="center"/>
              <w:rPr>
                <w:rFonts w:cs="Arial"/>
                <w:color w:val="000000"/>
                <w:szCs w:val="16"/>
              </w:rPr>
            </w:pPr>
          </w:p>
        </w:tc>
      </w:tr>
      <w:tr w:rsidR="009F7267" w:rsidRPr="009F575E" w:rsidTr="002F0C11">
        <w:trPr>
          <w:cnfStyle w:val="000000010000" w:firstRow="0" w:lastRow="0" w:firstColumn="0" w:lastColumn="0" w:oddVBand="0" w:evenVBand="0" w:oddHBand="0" w:evenHBand="1" w:firstRowFirstColumn="0" w:firstRowLastColumn="0" w:lastRowFirstColumn="0" w:lastRowLastColumn="0"/>
          <w:jc w:val="center"/>
        </w:trPr>
        <w:tc>
          <w:tcPr>
            <w:tcW w:w="5110" w:type="dxa"/>
          </w:tcPr>
          <w:p w:rsidR="009F7267" w:rsidRPr="00B62D3A" w:rsidRDefault="009F7267" w:rsidP="00F31002">
            <w:r w:rsidRPr="00B62D3A">
              <w:t xml:space="preserve">      Tumore del sistema nervoso centrale</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9F575E" w:rsidRDefault="009F7267" w:rsidP="00F31002">
            <w:pPr>
              <w:adjustRightInd w:val="0"/>
              <w:spacing w:before="18" w:after="18"/>
              <w:jc w:val="center"/>
              <w:rPr>
                <w:rFonts w:cs="Arial"/>
                <w:color w:val="000000"/>
                <w:szCs w:val="16"/>
              </w:rPr>
            </w:pPr>
          </w:p>
        </w:tc>
      </w:tr>
      <w:tr w:rsidR="009F7267" w:rsidRPr="009F575E" w:rsidTr="002F0C11">
        <w:trPr>
          <w:cnfStyle w:val="000000100000" w:firstRow="0" w:lastRow="0" w:firstColumn="0" w:lastColumn="0" w:oddVBand="0" w:evenVBand="0" w:oddHBand="1" w:evenHBand="0" w:firstRowFirstColumn="0" w:firstRowLastColumn="0" w:lastRowFirstColumn="0" w:lastRowLastColumn="0"/>
          <w:jc w:val="center"/>
        </w:trPr>
        <w:tc>
          <w:tcPr>
            <w:tcW w:w="5110" w:type="dxa"/>
          </w:tcPr>
          <w:p w:rsidR="009F7267" w:rsidRPr="00B62D3A" w:rsidRDefault="009F7267" w:rsidP="00F31002">
            <w:r w:rsidRPr="00B62D3A">
              <w:t xml:space="preserve">      Tumore del sistema </w:t>
            </w:r>
            <w:proofErr w:type="spellStart"/>
            <w:r w:rsidRPr="00B62D3A">
              <w:t>linfoematopoietico</w:t>
            </w:r>
            <w:proofErr w:type="spellEnd"/>
            <w:r w:rsidRPr="00B62D3A">
              <w:t xml:space="preserve"> totale</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9F575E" w:rsidRDefault="009F7267" w:rsidP="00F31002">
            <w:pPr>
              <w:adjustRightInd w:val="0"/>
              <w:spacing w:before="18" w:after="18"/>
              <w:jc w:val="center"/>
              <w:rPr>
                <w:rFonts w:cs="Arial"/>
                <w:color w:val="000000"/>
                <w:szCs w:val="16"/>
              </w:rPr>
            </w:pPr>
          </w:p>
        </w:tc>
      </w:tr>
      <w:tr w:rsidR="009F7267" w:rsidRPr="009F575E" w:rsidTr="002F0C11">
        <w:trPr>
          <w:cnfStyle w:val="000000010000" w:firstRow="0" w:lastRow="0" w:firstColumn="0" w:lastColumn="0" w:oddVBand="0" w:evenVBand="0" w:oddHBand="0" w:evenHBand="1" w:firstRowFirstColumn="0" w:firstRowLastColumn="0" w:lastRowFirstColumn="0" w:lastRowLastColumn="0"/>
          <w:jc w:val="center"/>
        </w:trPr>
        <w:tc>
          <w:tcPr>
            <w:tcW w:w="5110" w:type="dxa"/>
          </w:tcPr>
          <w:p w:rsidR="009F7267" w:rsidRPr="00B62D3A" w:rsidRDefault="009F7267" w:rsidP="00F31002">
            <w:r w:rsidRPr="00B62D3A">
              <w:t xml:space="preserve">             Leucemie</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9F575E" w:rsidRDefault="009F7267" w:rsidP="00F31002">
            <w:pPr>
              <w:adjustRightInd w:val="0"/>
              <w:spacing w:before="18" w:after="18"/>
              <w:jc w:val="center"/>
              <w:rPr>
                <w:rFonts w:cs="Arial"/>
                <w:color w:val="000000"/>
                <w:szCs w:val="16"/>
              </w:rPr>
            </w:pPr>
          </w:p>
        </w:tc>
      </w:tr>
      <w:tr w:rsidR="009F7267" w:rsidRPr="009F575E" w:rsidTr="002F0C11">
        <w:trPr>
          <w:cnfStyle w:val="000000100000" w:firstRow="0" w:lastRow="0" w:firstColumn="0" w:lastColumn="0" w:oddVBand="0" w:evenVBand="0" w:oddHBand="1" w:evenHBand="0" w:firstRowFirstColumn="0" w:firstRowLastColumn="0" w:lastRowFirstColumn="0" w:lastRowLastColumn="0"/>
          <w:jc w:val="center"/>
        </w:trPr>
        <w:tc>
          <w:tcPr>
            <w:tcW w:w="5110" w:type="dxa"/>
          </w:tcPr>
          <w:p w:rsidR="009F7267" w:rsidRPr="00B62D3A" w:rsidRDefault="009F7267" w:rsidP="00F31002">
            <w:r w:rsidRPr="00B62D3A">
              <w:t xml:space="preserve">      Malattie respiratorie acute</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9F575E" w:rsidRDefault="009F7267" w:rsidP="00F31002">
            <w:pPr>
              <w:adjustRightInd w:val="0"/>
              <w:spacing w:before="18" w:after="18"/>
              <w:jc w:val="center"/>
              <w:rPr>
                <w:rFonts w:cs="Arial"/>
                <w:color w:val="000000"/>
                <w:szCs w:val="16"/>
              </w:rPr>
            </w:pPr>
          </w:p>
        </w:tc>
      </w:tr>
      <w:tr w:rsidR="009F7267" w:rsidRPr="00D70034" w:rsidTr="002F0C11">
        <w:trPr>
          <w:cnfStyle w:val="000000010000" w:firstRow="0" w:lastRow="0" w:firstColumn="0" w:lastColumn="0" w:oddVBand="0" w:evenVBand="0" w:oddHBand="0" w:evenHBand="1" w:firstRowFirstColumn="0" w:firstRowLastColumn="0" w:lastRowFirstColumn="0" w:lastRowLastColumn="0"/>
          <w:jc w:val="center"/>
        </w:trPr>
        <w:tc>
          <w:tcPr>
            <w:tcW w:w="5110" w:type="dxa"/>
          </w:tcPr>
          <w:p w:rsidR="009F7267" w:rsidRDefault="009F7267" w:rsidP="00F31002">
            <w:r w:rsidRPr="00B62D3A">
              <w:t xml:space="preserve">      Asma</w:t>
            </w:r>
          </w:p>
        </w:tc>
        <w:tc>
          <w:tcPr>
            <w:tcW w:w="0" w:type="auto"/>
          </w:tcPr>
          <w:p w:rsidR="009F7267" w:rsidRDefault="009F7267" w:rsidP="009F7267">
            <w:pPr>
              <w:jc w:val="right"/>
            </w:pPr>
            <w:r w:rsidRPr="00F92DF0">
              <w:rPr>
                <w:rFonts w:cs="Arial"/>
                <w:color w:val="000000"/>
                <w:szCs w:val="16"/>
              </w:rPr>
              <w:t>-</w:t>
            </w:r>
          </w:p>
        </w:tc>
        <w:tc>
          <w:tcPr>
            <w:tcW w:w="0" w:type="auto"/>
            <w:vAlign w:val="center"/>
          </w:tcPr>
          <w:p w:rsidR="009F7267" w:rsidRPr="00D70034" w:rsidRDefault="009F7267" w:rsidP="00F31002">
            <w:pPr>
              <w:adjustRightInd w:val="0"/>
              <w:spacing w:before="18" w:after="18"/>
              <w:jc w:val="center"/>
              <w:rPr>
                <w:rFonts w:cs="Arial"/>
                <w:b/>
                <w:color w:val="FF0000"/>
                <w:szCs w:val="16"/>
              </w:rPr>
            </w:pPr>
          </w:p>
        </w:tc>
      </w:tr>
    </w:tbl>
    <w:p w:rsidR="00E43B9B" w:rsidRDefault="00E43B9B" w:rsidP="00FB20A6">
      <w:pPr>
        <w:jc w:val="center"/>
        <w:rPr>
          <w:rFonts w:ascii="Arial" w:hAnsi="Arial" w:cs="Arial"/>
          <w:sz w:val="16"/>
          <w:szCs w:val="16"/>
        </w:rPr>
      </w:pPr>
    </w:p>
    <w:p w:rsidR="00257429" w:rsidRPr="00257429" w:rsidRDefault="00E43B9B" w:rsidP="00257429">
      <w:pPr>
        <w:spacing w:before="120" w:after="120" w:line="360" w:lineRule="auto"/>
        <w:jc w:val="both"/>
        <w:rPr>
          <w:rFonts w:ascii="Arial" w:hAnsi="Arial" w:cs="Arial"/>
          <w:b/>
          <w:sz w:val="40"/>
          <w:szCs w:val="40"/>
        </w:rPr>
      </w:pPr>
      <w:r>
        <w:rPr>
          <w:rFonts w:cs="Arial"/>
          <w:sz w:val="16"/>
          <w:szCs w:val="16"/>
        </w:rPr>
        <w:br w:type="column"/>
      </w:r>
      <w:bookmarkStart w:id="31" w:name="_Toc379880223"/>
      <w:bookmarkStart w:id="32" w:name="_Toc409780598"/>
      <w:r w:rsidRPr="00257429">
        <w:rPr>
          <w:b/>
          <w:sz w:val="40"/>
          <w:szCs w:val="40"/>
        </w:rPr>
        <w:lastRenderedPageBreak/>
        <w:t>L’ospedalizzazione</w:t>
      </w:r>
      <w:bookmarkEnd w:id="31"/>
      <w:bookmarkEnd w:id="32"/>
      <w:r w:rsidR="00257429" w:rsidRPr="00257429">
        <w:rPr>
          <w:rFonts w:ascii="Arial" w:hAnsi="Arial" w:cs="Arial"/>
          <w:b/>
          <w:sz w:val="40"/>
          <w:szCs w:val="40"/>
        </w:rPr>
        <w:t xml:space="preserve"> </w:t>
      </w:r>
    </w:p>
    <w:p w:rsidR="00257429" w:rsidRDefault="00257429" w:rsidP="00257429">
      <w:pPr>
        <w:spacing w:before="120" w:after="120" w:line="360" w:lineRule="auto"/>
        <w:jc w:val="both"/>
        <w:rPr>
          <w:rFonts w:ascii="Arial" w:hAnsi="Arial" w:cs="Arial"/>
          <w:sz w:val="24"/>
          <w:szCs w:val="24"/>
        </w:rPr>
      </w:pPr>
    </w:p>
    <w:p w:rsidR="00257429" w:rsidRPr="0090267E" w:rsidRDefault="00257429" w:rsidP="00257429">
      <w:pPr>
        <w:spacing w:before="120" w:after="120" w:line="360" w:lineRule="auto"/>
        <w:jc w:val="both"/>
        <w:rPr>
          <w:rFonts w:ascii="Arial" w:hAnsi="Arial" w:cs="Arial"/>
          <w:sz w:val="24"/>
          <w:szCs w:val="24"/>
        </w:rPr>
      </w:pPr>
      <w:r w:rsidRPr="0090267E">
        <w:rPr>
          <w:rFonts w:ascii="Arial" w:hAnsi="Arial" w:cs="Arial"/>
          <w:sz w:val="24"/>
          <w:szCs w:val="24"/>
        </w:rPr>
        <w:t xml:space="preserve">L’analisi dell’ospedalizzazione evidenzia una situazione non critica per ciò che riguarda le patologie tumorali, mentre è degna di attenzione la situazione riguardante le altre patologie non tumorali per le quali risulta, per la maggior parte delle diagnosi analizzate, che le popolazioni residenti nei comuni della Val d’Agri, oggetto di questo studio, ricorrano a cure ospedaliere più di quanto lo faccia l’intera popolazione regionale. Questo fenomeno è rilevabile anche osservando gli eccessi di ricovero in età pediatrica. </w:t>
      </w:r>
    </w:p>
    <w:p w:rsidR="00257429" w:rsidRPr="0090267E" w:rsidRDefault="00257429" w:rsidP="00257429">
      <w:pPr>
        <w:spacing w:before="120" w:after="120" w:line="360" w:lineRule="auto"/>
        <w:jc w:val="both"/>
        <w:rPr>
          <w:rFonts w:ascii="Arial" w:hAnsi="Arial" w:cs="Arial"/>
          <w:sz w:val="24"/>
          <w:szCs w:val="24"/>
        </w:rPr>
      </w:pPr>
      <w:r w:rsidRPr="0090267E">
        <w:rPr>
          <w:rFonts w:ascii="Arial" w:hAnsi="Arial" w:cs="Arial"/>
          <w:sz w:val="24"/>
          <w:szCs w:val="24"/>
        </w:rPr>
        <w:t>Occorre sottolineare, peraltro, come il fenomeno dell’ospedalizzazione risenta di molteplici fattori che possono non riguardare solamente gli aspetti più propriamente attinenti allo stato di salute, ma far riferimento anche all’organizzazione del sistema sanitario regionale. E’ noto, infatti, che la carenza di presidi ambulatoriali locali spinge la popolazione a rivolgersi alle strutture ospedaliere anche per patologie che potrebbero essere trattate al livello ambulatoriale e non essere oggetto di ricovero.</w:t>
      </w:r>
    </w:p>
    <w:p w:rsidR="00257429" w:rsidRPr="00965123" w:rsidRDefault="00257429" w:rsidP="00257429">
      <w:pPr>
        <w:spacing w:before="120" w:after="120" w:line="360" w:lineRule="auto"/>
        <w:jc w:val="both"/>
        <w:rPr>
          <w:rFonts w:ascii="Arial" w:hAnsi="Arial" w:cs="Arial"/>
          <w:sz w:val="24"/>
          <w:szCs w:val="24"/>
        </w:rPr>
      </w:pPr>
      <w:r w:rsidRPr="00965123">
        <w:rPr>
          <w:rFonts w:ascii="Arial" w:hAnsi="Arial" w:cs="Arial"/>
          <w:sz w:val="24"/>
          <w:szCs w:val="24"/>
        </w:rPr>
        <w:t>Seguono le due tabelle, che contengono i risultati dell’analisi dei ricoveri, rispettivamente per tutte le età e per la sola età pediatrica.</w:t>
      </w:r>
    </w:p>
    <w:p w:rsidR="00E43B9B" w:rsidRDefault="00257429" w:rsidP="00257429">
      <w:pPr>
        <w:pStyle w:val="Titolo2"/>
      </w:pPr>
      <w:r>
        <w:rPr>
          <w:rFonts w:cs="Arial"/>
          <w:b w:val="0"/>
          <w:bCs w:val="0"/>
          <w:sz w:val="24"/>
          <w:szCs w:val="24"/>
        </w:rPr>
        <w:br w:type="column"/>
      </w:r>
    </w:p>
    <w:p w:rsidR="00E43B9B" w:rsidRPr="0090267E" w:rsidRDefault="00E43B9B" w:rsidP="00E43B9B">
      <w:pPr>
        <w:pStyle w:val="Stile2"/>
        <w:rPr>
          <w:sz w:val="24"/>
          <w:szCs w:val="24"/>
        </w:rPr>
      </w:pPr>
      <w:bookmarkStart w:id="33" w:name="_Toc379880224"/>
      <w:r w:rsidRPr="0090267E">
        <w:rPr>
          <w:sz w:val="24"/>
          <w:szCs w:val="24"/>
        </w:rPr>
        <w:t>Tutte le età</w:t>
      </w:r>
      <w:bookmarkEnd w:id="33"/>
    </w:p>
    <w:p w:rsidR="00E43B9B" w:rsidRPr="0090267E" w:rsidRDefault="00E43B9B" w:rsidP="00E43B9B">
      <w:pPr>
        <w:spacing w:before="120" w:after="120" w:line="360" w:lineRule="auto"/>
        <w:jc w:val="both"/>
        <w:rPr>
          <w:rFonts w:ascii="Arial" w:hAnsi="Arial" w:cs="Arial"/>
          <w:sz w:val="24"/>
          <w:szCs w:val="24"/>
        </w:rPr>
      </w:pPr>
      <w:r w:rsidRPr="0090267E">
        <w:rPr>
          <w:rFonts w:ascii="Arial" w:hAnsi="Arial" w:cs="Arial"/>
          <w:sz w:val="24"/>
          <w:szCs w:val="24"/>
        </w:rPr>
        <w:t>In entrambi i generi si registrano eccessi significativi nell’ospedalizzazione per il complesso delle diagnosi indagate.</w:t>
      </w:r>
    </w:p>
    <w:p w:rsidR="00E43B9B" w:rsidRPr="0090267E" w:rsidRDefault="00E43B9B" w:rsidP="00E43B9B">
      <w:pPr>
        <w:spacing w:before="120" w:after="120" w:line="360" w:lineRule="auto"/>
        <w:jc w:val="both"/>
        <w:rPr>
          <w:rFonts w:ascii="Arial" w:hAnsi="Arial" w:cs="Arial"/>
          <w:sz w:val="24"/>
          <w:szCs w:val="24"/>
        </w:rPr>
      </w:pPr>
      <w:r w:rsidRPr="0090267E">
        <w:rPr>
          <w:rFonts w:ascii="Arial" w:hAnsi="Arial" w:cs="Arial"/>
          <w:sz w:val="24"/>
          <w:szCs w:val="24"/>
        </w:rPr>
        <w:t>Per quanto riguarda le patologie tumorali, si rilevano, negli uomini, eccessi significativi per i tumori maligni dello stomaco e della vescica. Negli uomini si registrano difetti significativi di ospedalizzazione per gli altri tumori maligni della cute e per i tumori maligni del rene. Nelle donne non si registrano né eccessi né difetti significativi.</w:t>
      </w:r>
    </w:p>
    <w:p w:rsidR="00E43B9B" w:rsidRPr="0090267E" w:rsidRDefault="00E43B9B" w:rsidP="00E43B9B">
      <w:pPr>
        <w:spacing w:before="120" w:after="120" w:line="360" w:lineRule="auto"/>
        <w:jc w:val="both"/>
        <w:rPr>
          <w:rFonts w:ascii="Arial" w:hAnsi="Arial" w:cs="Arial"/>
          <w:sz w:val="24"/>
          <w:szCs w:val="24"/>
        </w:rPr>
      </w:pPr>
      <w:r w:rsidRPr="0090267E">
        <w:rPr>
          <w:rFonts w:ascii="Arial" w:hAnsi="Arial" w:cs="Arial"/>
          <w:sz w:val="24"/>
          <w:szCs w:val="24"/>
        </w:rPr>
        <w:t>Tra le patologie non tumorali, in entrambi i generi, si registrano eccessi per le malattie ischemiche del cuore ed, in particolare, per le malattie ischemiche acute, per il complesso delle malattie del sistema respiratorio ed, in particolare, per le infezioni acute delle vie respiratorie e per asma, infine per le nefriti. Inoltre, negli uomini si rilevano eccessi per il complesso delle malattie del sistema circolatorio ed, in particolare, per le malattie cardiache, per le malattie epatiche e per quelle dell’apparato urinario. Nelle donne non si registrano ulteriori eccessi di ospedalizzazione. Tra gli uomini si evidenziano difetti di ospedalizzazione per le malattie polmonari cronico ostruttive e per il complesso delle malattie dell’apparato digerente. Nelle donne si rilevano difetti per le malattie del sistema nervoso centrale e per il complesso della malattie dell’apparato digerente.</w:t>
      </w:r>
    </w:p>
    <w:p w:rsidR="00E43B9B" w:rsidRPr="0090267E" w:rsidRDefault="00E43B9B" w:rsidP="00E43B9B">
      <w:pPr>
        <w:spacing w:before="120" w:after="120" w:line="360" w:lineRule="auto"/>
        <w:jc w:val="both"/>
        <w:rPr>
          <w:rFonts w:ascii="Arial" w:hAnsi="Arial" w:cs="Arial"/>
          <w:b/>
          <w:sz w:val="24"/>
          <w:szCs w:val="24"/>
        </w:rPr>
      </w:pPr>
      <w:bookmarkStart w:id="34" w:name="_Toc379880225"/>
      <w:r w:rsidRPr="0090267E">
        <w:rPr>
          <w:rFonts w:ascii="Arial" w:hAnsi="Arial" w:cs="Arial"/>
          <w:b/>
          <w:sz w:val="24"/>
          <w:szCs w:val="24"/>
        </w:rPr>
        <w:t>Età pediatrica (0-14)</w:t>
      </w:r>
      <w:bookmarkEnd w:id="34"/>
    </w:p>
    <w:p w:rsidR="00E43B9B" w:rsidRPr="0090267E" w:rsidRDefault="00E43B9B" w:rsidP="00E43B9B">
      <w:pPr>
        <w:spacing w:before="120" w:after="120" w:line="360" w:lineRule="auto"/>
        <w:jc w:val="both"/>
        <w:rPr>
          <w:rFonts w:ascii="Arial" w:hAnsi="Arial" w:cs="Arial"/>
          <w:sz w:val="24"/>
          <w:szCs w:val="24"/>
        </w:rPr>
      </w:pPr>
      <w:r w:rsidRPr="0090267E">
        <w:rPr>
          <w:rFonts w:ascii="Arial" w:hAnsi="Arial" w:cs="Arial"/>
          <w:sz w:val="24"/>
          <w:szCs w:val="24"/>
        </w:rPr>
        <w:t xml:space="preserve">Si registrano eccessi di ospedalizzazione per il complesso delle diagnosi di ricovero </w:t>
      </w:r>
      <w:proofErr w:type="gramStart"/>
      <w:r w:rsidRPr="0090267E">
        <w:rPr>
          <w:rFonts w:ascii="Arial" w:hAnsi="Arial" w:cs="Arial"/>
          <w:sz w:val="24"/>
          <w:szCs w:val="24"/>
        </w:rPr>
        <w:t>indagate ,</w:t>
      </w:r>
      <w:proofErr w:type="gramEnd"/>
      <w:r w:rsidRPr="0090267E">
        <w:rPr>
          <w:rFonts w:ascii="Arial" w:hAnsi="Arial" w:cs="Arial"/>
          <w:sz w:val="24"/>
          <w:szCs w:val="24"/>
        </w:rPr>
        <w:t xml:space="preserve"> per le infezioni acute delle vie respiratorie e per asma. Si rileva un difetto per tutti i tumori maligni.</w:t>
      </w: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1852AB" w:rsidRDefault="001852AB" w:rsidP="00E43B9B">
      <w:pPr>
        <w:jc w:val="center"/>
        <w:rPr>
          <w:rFonts w:ascii="Arial" w:hAnsi="Arial" w:cs="Arial"/>
          <w:b/>
          <w:bCs/>
          <w:sz w:val="24"/>
          <w:szCs w:val="24"/>
        </w:rPr>
      </w:pPr>
    </w:p>
    <w:p w:rsidR="00E43B9B" w:rsidRDefault="00E43B9B" w:rsidP="00E43B9B">
      <w:pPr>
        <w:jc w:val="center"/>
        <w:rPr>
          <w:rFonts w:ascii="Arial" w:hAnsi="Arial" w:cs="Arial"/>
          <w:b/>
          <w:bCs/>
          <w:sz w:val="24"/>
          <w:szCs w:val="24"/>
        </w:rPr>
      </w:pPr>
      <w:r>
        <w:rPr>
          <w:rFonts w:ascii="Arial" w:hAnsi="Arial" w:cs="Arial"/>
          <w:b/>
          <w:bCs/>
          <w:sz w:val="24"/>
          <w:szCs w:val="24"/>
        </w:rPr>
        <w:lastRenderedPageBreak/>
        <w:t>Ospedalizzazione 2005-2010 Uomini e Donne – tutte le età</w:t>
      </w:r>
    </w:p>
    <w:p w:rsidR="00E43B9B" w:rsidRDefault="00E43B9B" w:rsidP="00E43B9B">
      <w:pPr>
        <w:jc w:val="center"/>
        <w:rPr>
          <w:sz w:val="12"/>
          <w:szCs w:val="12"/>
        </w:rPr>
      </w:pPr>
    </w:p>
    <w:tbl>
      <w:tblPr>
        <w:tblStyle w:val="SENTIERI"/>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062"/>
        <w:gridCol w:w="709"/>
        <w:gridCol w:w="1275"/>
        <w:gridCol w:w="709"/>
        <w:gridCol w:w="1350"/>
      </w:tblGrid>
      <w:tr w:rsidR="00E43B9B" w:rsidTr="00E43B9B">
        <w:trPr>
          <w:cnfStyle w:val="100000000000" w:firstRow="1" w:lastRow="0" w:firstColumn="0" w:lastColumn="0" w:oddVBand="0" w:evenVBand="0" w:oddHBand="0" w:evenHBand="0" w:firstRowFirstColumn="0" w:firstRowLastColumn="0" w:lastRowFirstColumn="0" w:lastRowLastColumn="0"/>
        </w:trPr>
        <w:tc>
          <w:tcPr>
            <w:tcW w:w="6062"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rPr>
                <w:rFonts w:cs="Arial"/>
                <w:b/>
                <w:bCs/>
                <w:color w:val="000000"/>
              </w:rPr>
            </w:pPr>
            <w:r>
              <w:rPr>
                <w:rFonts w:cs="Arial"/>
                <w:b/>
                <w:bCs/>
                <w:color w:val="000000"/>
              </w:rPr>
              <w:t xml:space="preserve">Diagnosi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center"/>
              <w:rPr>
                <w:rFonts w:cs="Arial"/>
                <w:b/>
                <w:bCs/>
                <w:color w:val="000000"/>
              </w:rPr>
            </w:pPr>
            <w:r>
              <w:rPr>
                <w:rFonts w:cs="Arial"/>
                <w:b/>
                <w:bCs/>
                <w:color w:val="000000"/>
              </w:rPr>
              <w:t>UOMINI</w:t>
            </w:r>
          </w:p>
        </w:tc>
        <w:tc>
          <w:tcPr>
            <w:tcW w:w="205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center"/>
              <w:rPr>
                <w:rFonts w:cs="Arial"/>
                <w:b/>
                <w:bCs/>
                <w:color w:val="000000"/>
              </w:rPr>
            </w:pPr>
            <w:r>
              <w:rPr>
                <w:rFonts w:cs="Arial"/>
                <w:b/>
                <w:bCs/>
                <w:color w:val="000000"/>
              </w:rPr>
              <w:t>DONNE</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E43B9B" w:rsidRDefault="00E43B9B">
            <w:pPr>
              <w:autoSpaceDE/>
              <w:autoSpaceDN/>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right"/>
              <w:rPr>
                <w:rFonts w:cs="Arial"/>
                <w:b/>
                <w:bCs/>
                <w:color w:val="000000"/>
              </w:rPr>
            </w:pPr>
            <w:r>
              <w:rPr>
                <w:rFonts w:cs="Arial"/>
                <w:b/>
                <w:bCs/>
                <w:color w:val="000000"/>
              </w:rPr>
              <w:t>OSS</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center"/>
              <w:rPr>
                <w:rFonts w:cs="Arial"/>
                <w:b/>
                <w:bCs/>
                <w:color w:val="000000"/>
              </w:rPr>
            </w:pPr>
            <w:r>
              <w:rPr>
                <w:rFonts w:cs="Arial"/>
                <w:b/>
                <w:bCs/>
                <w:color w:val="000000"/>
              </w:rPr>
              <w:t>SHR_ID</w:t>
            </w:r>
          </w:p>
          <w:p w:rsidR="00E43B9B" w:rsidRDefault="00E43B9B">
            <w:pPr>
              <w:keepNext/>
              <w:adjustRightInd w:val="0"/>
              <w:spacing w:before="29" w:after="29"/>
              <w:jc w:val="center"/>
              <w:rPr>
                <w:rFonts w:cs="Arial"/>
                <w:b/>
                <w:bCs/>
                <w:color w:val="000000"/>
              </w:rPr>
            </w:pPr>
            <w:r>
              <w:rPr>
                <w:rFonts w:cs="Arial"/>
                <w:b/>
                <w:bCs/>
                <w:color w:val="000000"/>
              </w:rPr>
              <w:t>(IC 90%)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right"/>
              <w:rPr>
                <w:rFonts w:cs="Arial"/>
                <w:b/>
                <w:bCs/>
                <w:color w:val="000000"/>
              </w:rPr>
            </w:pPr>
            <w:r>
              <w:rPr>
                <w:rFonts w:cs="Arial"/>
                <w:b/>
                <w:bCs/>
                <w:color w:val="000000"/>
              </w:rPr>
              <w:t>OSS</w:t>
            </w:r>
          </w:p>
        </w:tc>
        <w:tc>
          <w:tcPr>
            <w:tcW w:w="13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29" w:after="29"/>
              <w:jc w:val="center"/>
              <w:rPr>
                <w:rFonts w:cs="Arial"/>
                <w:b/>
                <w:bCs/>
                <w:color w:val="000000"/>
              </w:rPr>
            </w:pPr>
            <w:r>
              <w:rPr>
                <w:rFonts w:cs="Arial"/>
                <w:b/>
                <w:bCs/>
                <w:color w:val="000000"/>
              </w:rPr>
              <w:t>SHR_ID</w:t>
            </w:r>
          </w:p>
          <w:p w:rsidR="00E43B9B" w:rsidRDefault="00E43B9B">
            <w:pPr>
              <w:keepNext/>
              <w:adjustRightInd w:val="0"/>
              <w:spacing w:before="29" w:after="29"/>
              <w:jc w:val="center"/>
              <w:rPr>
                <w:rFonts w:cs="Arial"/>
                <w:b/>
                <w:bCs/>
                <w:color w:val="000000"/>
              </w:rPr>
            </w:pPr>
            <w:r>
              <w:rPr>
                <w:rFonts w:cs="Arial"/>
                <w:b/>
                <w:bCs/>
                <w:color w:val="000000"/>
              </w:rPr>
              <w:t>(IC 90%)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Tutte le cause naturali (escluse complicazioni della gravidanza, del parto e del puerperio)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9728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103 (101-105)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10366</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105 (104-107)</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Malattie infettive e parassitarie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362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118 (108-129)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345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127 (116-139)</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Tutti i tumori maligni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981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99 (94-105)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750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97 (91-103)</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w:t>
            </w:r>
            <w:proofErr w:type="spellStart"/>
            <w:r>
              <w:rPr>
                <w:rFonts w:cs="Arial"/>
                <w:color w:val="000000"/>
              </w:rPr>
              <w:t>dell</w:t>
            </w:r>
            <w:proofErr w:type="spellEnd"/>
            <w:r>
              <w:rPr>
                <w:rFonts w:cs="Arial"/>
                <w:color w:val="000000"/>
              </w:rPr>
              <w:t xml:space="preserve"> esofago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108 (54-196)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147 (26-464)</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Tumori maligni dello stomaco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127 (101-159)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28</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88 (62-120)</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colon, del retto, della giunzione rettosigmoidea e dell'ano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97 (82-114)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86</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105 (87-126)</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primitivi del fegato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121 (96-150)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21</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126 (84-181)</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pancreas</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108 (74-152)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87 (53-137)</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laringe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100 (66-147)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68 (4-324)</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trachea, dei bronchi e dei polmoni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95 (81-112)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126 (87-178)</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pleura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100 (34-229)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105 (5-499)</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delle ossa e delle cartilagini articolari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115 (45-241)</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55 (10-172)</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connettivo e di altri tessuti molli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70 (28-147)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179 (100-296)</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Melanoma maligno della cute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111 (64-180)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9</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69 (36-120)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70C0"/>
              </w:rPr>
            </w:pPr>
            <w:r>
              <w:rPr>
                <w:rFonts w:cs="Arial"/>
                <w:b/>
                <w:color w:val="0070C0"/>
              </w:rPr>
              <w:t xml:space="preserve">    Altri tumori maligni della cute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 xml:space="preserve">  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72 (60-86)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103</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91 (77-108)</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mammella della donna (F)</w:t>
            </w:r>
          </w:p>
        </w:tc>
        <w:tc>
          <w:tcPr>
            <w:tcW w:w="709" w:type="dxa"/>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29" w:after="29"/>
              <w:jc w:val="right"/>
              <w:rPr>
                <w:rFonts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135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91 (79-105)</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dell'utero (F)</w:t>
            </w:r>
          </w:p>
        </w:tc>
        <w:tc>
          <w:tcPr>
            <w:tcW w:w="709" w:type="dxa"/>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29" w:after="29"/>
              <w:jc w:val="right"/>
              <w:rPr>
                <w:rFonts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114 (89-144)</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dell'ovaio e degli altri annessi uterini (F)</w:t>
            </w:r>
          </w:p>
        </w:tc>
        <w:tc>
          <w:tcPr>
            <w:tcW w:w="709" w:type="dxa"/>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29" w:after="29"/>
              <w:jc w:val="right"/>
              <w:rPr>
                <w:rFonts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28</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110 (78-150)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prostata (M)</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108 (93-125)</w:t>
            </w:r>
          </w:p>
        </w:tc>
        <w:tc>
          <w:tcPr>
            <w:tcW w:w="709" w:type="dxa"/>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29" w:after="29"/>
              <w:jc w:val="right"/>
              <w:rPr>
                <w:rFonts w:cs="Arial"/>
                <w:color w:val="00000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testicolo (M)</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97 (52-164)</w:t>
            </w:r>
          </w:p>
        </w:tc>
        <w:tc>
          <w:tcPr>
            <w:tcW w:w="709" w:type="dxa"/>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29" w:after="29"/>
              <w:jc w:val="right"/>
              <w:rPr>
                <w:rFonts w:cs="Arial"/>
                <w:color w:val="000000"/>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Tumori maligni della vescica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149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118 (102-135)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76 (53-107)</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70C0"/>
              </w:rPr>
            </w:pPr>
            <w:r>
              <w:rPr>
                <w:rFonts w:cs="Arial"/>
                <w:b/>
                <w:color w:val="0070C0"/>
              </w:rPr>
              <w:t xml:space="preserve">    Tumori maligni del rene e di altri non specificati organi urinari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 xml:space="preserve">  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64 (41-96)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95 (57-148)</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dell'encefalo e di altre non specificate parti del sistema nervoso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78 (47-122)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84 (52-130)</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dell'encefalo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78 (46-125)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85 (51-136)</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della ghiandola tiroidea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138 (86-209)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97 (70-132)</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tessuto linfatico ed emopoietico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96 (80-113)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77</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99 (81-120)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Linfomi non </w:t>
            </w:r>
            <w:proofErr w:type="spellStart"/>
            <w:r>
              <w:rPr>
                <w:rFonts w:cs="Arial"/>
                <w:color w:val="000000"/>
              </w:rPr>
              <w:t>Hodgkin</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90 (68-119)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107 (78-144)</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Malattia </w:t>
            </w:r>
            <w:proofErr w:type="gramStart"/>
            <w:r>
              <w:rPr>
                <w:rFonts w:cs="Arial"/>
                <w:color w:val="000000"/>
              </w:rPr>
              <w:t xml:space="preserve">di  </w:t>
            </w:r>
            <w:proofErr w:type="spellStart"/>
            <w:r>
              <w:rPr>
                <w:rFonts w:cs="Arial"/>
                <w:color w:val="000000"/>
              </w:rPr>
              <w:t>Hodgkin</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106 (50-199)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9</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107 (56-187)</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Mieloma multiplo e neoplasie immunoproliferative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77 (45-125)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82 (47-132)</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Leucemie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116 (90-147)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28</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95 (67-130)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0000"/>
              </w:rPr>
            </w:pPr>
            <w:r>
              <w:rPr>
                <w:rFonts w:cs="Arial"/>
                <w:b/>
                <w:color w:val="0070C0"/>
              </w:rPr>
              <w:t>Malattie ereditarie e degenerative e altri disturbi del sistema nervoso centrale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96 (85-107)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 xml:space="preserve">  236</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89 (79-99)</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Malattie del sistema circolatorio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2493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106 (102-109)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2063</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99 (95-103)</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Malattie cardiache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1739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112 (108-117)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1329</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100 (96-105)</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Malattie ischemiche del cuore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715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118 (111-126)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364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117 (107-128)</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Malattie ischemiche acute </w:t>
            </w:r>
            <w:proofErr w:type="gramStart"/>
            <w:r>
              <w:rPr>
                <w:rFonts w:cs="Arial"/>
                <w:b/>
                <w:color w:val="FF0000"/>
              </w:rPr>
              <w:t>( Infarto</w:t>
            </w:r>
            <w:proofErr w:type="gramEnd"/>
            <w:r>
              <w:rPr>
                <w:rFonts w:cs="Arial"/>
                <w:b/>
                <w:color w:val="FF0000"/>
              </w:rPr>
              <w:t xml:space="preserve"> miocardio, altre forme acute e subacute di cardiopatia ischemica)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464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127 (117-137)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222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118 (105-132)</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Insufficienza cardiaca (scompenso cardiaco)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102 (93-111)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347</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94 (86-103)</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Malattie cerebrovascolari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98 (91-105)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547</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98 (91-105)</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Malattie dell'apparato respiratorio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1548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117 (112-122)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1192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122 (116-128)</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Infezioni acute delle vie respiratorie, polmonite e influenza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511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136 (127-147)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365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133 (122-145)</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70C0"/>
              </w:rPr>
            </w:pPr>
            <w:r>
              <w:rPr>
                <w:rFonts w:cs="Arial"/>
                <w:b/>
                <w:color w:val="0070C0"/>
              </w:rPr>
              <w:t xml:space="preserve">    Malattie polmonari cronico ostruttive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 xml:space="preserve"> 197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82 (73-93)</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146</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94 (81-107)</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Asma</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189 (155-229)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64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151 (122-186)</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Pneumoconiosi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91 (25-235)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 xml:space="preserve"> </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70C0"/>
              </w:rPr>
            </w:pPr>
            <w:r>
              <w:rPr>
                <w:rFonts w:cs="Arial"/>
                <w:b/>
                <w:color w:val="0070C0"/>
              </w:rPr>
              <w:t>Malattie dell'apparato digerente</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1924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89 (85-92)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70C0"/>
              </w:rPr>
            </w:pPr>
            <w:r>
              <w:rPr>
                <w:rFonts w:cs="Arial"/>
                <w:b/>
                <w:color w:val="0070C0"/>
              </w:rPr>
              <w:t xml:space="preserve"> 1375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70C0"/>
              </w:rPr>
            </w:pPr>
            <w:r>
              <w:rPr>
                <w:rFonts w:cs="Arial"/>
                <w:b/>
                <w:color w:val="0070C0"/>
              </w:rPr>
              <w:t xml:space="preserve"> 89 (85-93)</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Malattia epatica cronica e cirrosi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285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117 (106-129)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color w:val="000000"/>
              </w:rPr>
            </w:pPr>
            <w:r>
              <w:rPr>
                <w:rFonts w:cs="Arial"/>
                <w:color w:val="000000"/>
              </w:rPr>
              <w:t xml:space="preserve">  152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color w:val="000000"/>
              </w:rPr>
            </w:pPr>
            <w:r>
              <w:rPr>
                <w:rFonts w:cs="Arial"/>
                <w:color w:val="000000"/>
              </w:rPr>
              <w:t>114 (99-130)</w:t>
            </w:r>
          </w:p>
        </w:tc>
      </w:tr>
      <w:tr w:rsidR="00E43B9B" w:rsidTr="00E43B9B">
        <w:trPr>
          <w:cnfStyle w:val="000000010000" w:firstRow="0" w:lastRow="0" w:firstColumn="0" w:lastColumn="0" w:oddVBand="0" w:evenVBand="0" w:oddHBand="0" w:evenHBand="1"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keepNext/>
              <w:adjustRightInd w:val="0"/>
              <w:spacing w:before="29" w:after="29"/>
              <w:rPr>
                <w:rFonts w:cs="Arial"/>
                <w:b/>
                <w:color w:val="FF0000"/>
              </w:rPr>
            </w:pPr>
            <w:r>
              <w:rPr>
                <w:rFonts w:cs="Arial"/>
                <w:b/>
                <w:color w:val="FF0000"/>
              </w:rPr>
              <w:t>Malattie dell'apparato urinario</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keepNext/>
              <w:adjustRightInd w:val="0"/>
              <w:spacing w:before="29" w:after="29"/>
              <w:jc w:val="right"/>
              <w:rPr>
                <w:rFonts w:cs="Arial"/>
                <w:b/>
                <w:color w:val="FF0000"/>
              </w:rPr>
            </w:pPr>
            <w:r>
              <w:rPr>
                <w:rFonts w:cs="Arial"/>
                <w:b/>
                <w:color w:val="FF0000"/>
              </w:rPr>
              <w:t xml:space="preserve"> 565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keepNext/>
              <w:adjustRightInd w:val="0"/>
              <w:spacing w:before="29" w:after="29"/>
              <w:jc w:val="center"/>
              <w:rPr>
                <w:rFonts w:cs="Arial"/>
                <w:b/>
                <w:color w:val="FF0000"/>
              </w:rPr>
            </w:pPr>
            <w:r>
              <w:rPr>
                <w:rFonts w:cs="Arial"/>
                <w:b/>
                <w:color w:val="FF0000"/>
              </w:rPr>
              <w:t>113 (105-121)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keepNext/>
              <w:adjustRightInd w:val="0"/>
              <w:spacing w:before="29" w:after="29"/>
              <w:jc w:val="right"/>
              <w:rPr>
                <w:rFonts w:cs="Arial"/>
                <w:color w:val="000000"/>
              </w:rPr>
            </w:pPr>
            <w:r>
              <w:rPr>
                <w:rFonts w:cs="Arial"/>
                <w:color w:val="000000"/>
              </w:rPr>
              <w:t xml:space="preserve">  458</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keepNext/>
              <w:adjustRightInd w:val="0"/>
              <w:spacing w:before="29" w:after="29"/>
              <w:jc w:val="center"/>
              <w:rPr>
                <w:rFonts w:cs="Arial"/>
                <w:color w:val="000000"/>
              </w:rPr>
            </w:pPr>
            <w:r>
              <w:rPr>
                <w:rFonts w:cs="Arial"/>
                <w:color w:val="000000"/>
              </w:rPr>
              <w:t>106 (98-114)</w:t>
            </w:r>
          </w:p>
        </w:tc>
      </w:tr>
      <w:tr w:rsidR="00E43B9B" w:rsidTr="00E43B9B">
        <w:trPr>
          <w:cnfStyle w:val="000000100000" w:firstRow="0" w:lastRow="0" w:firstColumn="0" w:lastColumn="0" w:oddVBand="0" w:evenVBand="0" w:oddHBand="1" w:evenHBand="0" w:firstRowFirstColumn="0" w:firstRowLastColumn="0" w:lastRowFirstColumn="0" w:lastRowLastColumn="0"/>
        </w:trPr>
        <w:tc>
          <w:tcPr>
            <w:tcW w:w="6062"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 xml:space="preserve">    Nefrite, sindrome nefrosica, e nefrosi</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FF0000"/>
              </w:rPr>
            </w:pPr>
            <w:r>
              <w:rPr>
                <w:rFonts w:cs="Arial"/>
                <w:b/>
                <w:color w:val="FF0000"/>
              </w:rPr>
              <w:t xml:space="preserve"> 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FF0000"/>
              </w:rPr>
            </w:pPr>
            <w:r>
              <w:rPr>
                <w:rFonts w:cs="Arial"/>
                <w:b/>
                <w:color w:val="FF0000"/>
              </w:rPr>
              <w:t>126 (112-142)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right"/>
              <w:rPr>
                <w:rFonts w:cs="Arial"/>
                <w:b/>
                <w:color w:val="000000"/>
              </w:rPr>
            </w:pPr>
            <w:r>
              <w:rPr>
                <w:rFonts w:cs="Arial"/>
                <w:b/>
                <w:color w:val="FF0000"/>
              </w:rPr>
              <w:t xml:space="preserve">  167</w:t>
            </w:r>
          </w:p>
        </w:tc>
        <w:tc>
          <w:tcPr>
            <w:tcW w:w="135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jc w:val="center"/>
              <w:rPr>
                <w:rFonts w:cs="Arial"/>
                <w:b/>
                <w:color w:val="000000"/>
              </w:rPr>
            </w:pPr>
            <w:r>
              <w:rPr>
                <w:rFonts w:cs="Arial"/>
                <w:b/>
                <w:color w:val="FF0000"/>
              </w:rPr>
              <w:t>123 (108-140)</w:t>
            </w:r>
          </w:p>
        </w:tc>
      </w:tr>
    </w:tbl>
    <w:p w:rsidR="00E43B9B" w:rsidRDefault="00E43B9B" w:rsidP="00E43B9B">
      <w:pPr>
        <w:rPr>
          <w:rFonts w:ascii="Arial" w:hAnsi="Arial" w:cs="Arial"/>
          <w:sz w:val="16"/>
          <w:szCs w:val="16"/>
        </w:rPr>
      </w:pPr>
    </w:p>
    <w:p w:rsidR="00E43B9B" w:rsidRDefault="00566066" w:rsidP="00E43B9B">
      <w:pPr>
        <w:jc w:val="center"/>
        <w:rPr>
          <w:rFonts w:ascii="Arial" w:hAnsi="Arial" w:cs="Arial"/>
          <w:b/>
          <w:bCs/>
          <w:sz w:val="24"/>
          <w:szCs w:val="24"/>
        </w:rPr>
      </w:pPr>
      <w:r>
        <w:rPr>
          <w:rFonts w:ascii="Arial" w:hAnsi="Arial" w:cs="Arial"/>
          <w:b/>
          <w:bCs/>
          <w:sz w:val="24"/>
          <w:szCs w:val="24"/>
        </w:rPr>
        <w:br w:type="column"/>
      </w:r>
      <w:r w:rsidR="00E43B9B">
        <w:rPr>
          <w:rFonts w:ascii="Arial" w:hAnsi="Arial" w:cs="Arial"/>
          <w:b/>
          <w:bCs/>
          <w:sz w:val="24"/>
          <w:szCs w:val="24"/>
        </w:rPr>
        <w:lastRenderedPageBreak/>
        <w:t>Ospedalizzazione 2005-2010 – Età pediatrica (0-14)</w:t>
      </w:r>
    </w:p>
    <w:p w:rsidR="00E43B9B" w:rsidRDefault="00E43B9B" w:rsidP="00E43B9B">
      <w:pPr>
        <w:jc w:val="center"/>
        <w:rPr>
          <w:rFonts w:ascii="Arial" w:hAnsi="Arial" w:cs="Arial"/>
          <w:b/>
          <w:bCs/>
          <w:sz w:val="24"/>
          <w:szCs w:val="24"/>
        </w:rPr>
      </w:pPr>
    </w:p>
    <w:tbl>
      <w:tblPr>
        <w:tblStyle w:val="Stile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10"/>
        <w:gridCol w:w="946"/>
        <w:gridCol w:w="1390"/>
      </w:tblGrid>
      <w:tr w:rsidR="00E43B9B" w:rsidTr="00E43B9B">
        <w:trPr>
          <w:cnfStyle w:val="100000000000" w:firstRow="1" w:lastRow="0" w:firstColumn="0" w:lastColumn="0" w:oddVBand="0" w:evenVBand="0" w:oddHBand="0" w:evenHBand="0" w:firstRowFirstColumn="0" w:firstRowLastColumn="0" w:lastRowFirstColumn="0" w:lastRowLastColumn="0"/>
          <w:jc w:val="center"/>
        </w:trPr>
        <w:tc>
          <w:tcPr>
            <w:tcW w:w="511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18" w:after="18"/>
              <w:rPr>
                <w:rFonts w:cs="Arial"/>
                <w:b/>
                <w:bCs/>
                <w:color w:val="000000"/>
                <w:szCs w:val="16"/>
              </w:rPr>
            </w:pPr>
            <w:r>
              <w:rPr>
                <w:rFonts w:cs="Arial"/>
                <w:b/>
                <w:bCs/>
                <w:color w:val="000000"/>
                <w:szCs w:val="16"/>
              </w:rPr>
              <w:t>Diagnosi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18" w:after="18"/>
              <w:jc w:val="center"/>
              <w:rPr>
                <w:rFonts w:cs="Arial"/>
                <w:b/>
                <w:bCs/>
                <w:color w:val="000000"/>
                <w:szCs w:val="16"/>
              </w:rPr>
            </w:pPr>
            <w:proofErr w:type="spellStart"/>
            <w:r>
              <w:rPr>
                <w:rFonts w:cs="Arial"/>
                <w:b/>
                <w:bCs/>
                <w:color w:val="000000"/>
                <w:szCs w:val="16"/>
              </w:rPr>
              <w:t>Maschi+Femmine</w:t>
            </w:r>
            <w:proofErr w:type="spellEnd"/>
          </w:p>
        </w:tc>
      </w:tr>
      <w:tr w:rsidR="00E43B9B" w:rsidTr="00E43B9B">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B9B" w:rsidRDefault="00E43B9B">
            <w:pPr>
              <w:autoSpaceDE/>
              <w:autoSpaceDN/>
              <w:rPr>
                <w:rFonts w:cs="Arial"/>
                <w:b/>
                <w:bCs/>
                <w:color w:val="000000"/>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18" w:after="18"/>
              <w:jc w:val="right"/>
              <w:rPr>
                <w:rFonts w:cs="Arial"/>
                <w:b/>
                <w:bCs/>
                <w:color w:val="000000"/>
                <w:szCs w:val="16"/>
              </w:rPr>
            </w:pPr>
            <w:r>
              <w:rPr>
                <w:rFonts w:cs="Arial"/>
                <w:b/>
                <w:bCs/>
                <w:color w:val="000000"/>
                <w:szCs w:val="16"/>
              </w:rPr>
              <w:t>Osservati</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rsidR="00E43B9B" w:rsidRDefault="00E43B9B">
            <w:pPr>
              <w:keepNext/>
              <w:adjustRightInd w:val="0"/>
              <w:spacing w:before="18" w:after="18"/>
              <w:jc w:val="center"/>
              <w:rPr>
                <w:rFonts w:cs="Arial"/>
                <w:b/>
                <w:bCs/>
                <w:color w:val="000000"/>
                <w:szCs w:val="16"/>
              </w:rPr>
            </w:pPr>
            <w:r>
              <w:rPr>
                <w:rFonts w:cs="Arial"/>
                <w:b/>
                <w:bCs/>
                <w:color w:val="000000"/>
                <w:szCs w:val="16"/>
              </w:rPr>
              <w:t>SHR ID (IC90%)</w:t>
            </w:r>
          </w:p>
        </w:tc>
      </w:tr>
      <w:tr w:rsidR="00E43B9B" w:rsidTr="00E43B9B">
        <w:trPr>
          <w:cnfStyle w:val="000000010000" w:firstRow="0" w:lastRow="0" w:firstColumn="0" w:lastColumn="0" w:oddVBand="0" w:evenVBand="0" w:oddHBand="0" w:evenHBand="1"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Tutte le cause naturali (escluse complicazioni della gravidanza, del parto e del puerperio)</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right"/>
              <w:rPr>
                <w:rFonts w:cs="Arial"/>
                <w:b/>
                <w:color w:val="FF0000"/>
                <w:szCs w:val="16"/>
              </w:rPr>
            </w:pPr>
            <w:r>
              <w:rPr>
                <w:rFonts w:cs="Arial"/>
                <w:b/>
                <w:color w:val="FF0000"/>
                <w:szCs w:val="16"/>
              </w:rPr>
              <w:t>2260</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b/>
                <w:color w:val="FF0000"/>
                <w:szCs w:val="16"/>
              </w:rPr>
            </w:pPr>
            <w:r>
              <w:rPr>
                <w:rFonts w:cs="Arial"/>
                <w:b/>
                <w:color w:val="FF0000"/>
                <w:szCs w:val="16"/>
              </w:rPr>
              <w:t>121 (117-126)</w:t>
            </w:r>
          </w:p>
        </w:tc>
      </w:tr>
      <w:tr w:rsidR="00E43B9B" w:rsidTr="00E43B9B">
        <w:trPr>
          <w:cnfStyle w:val="000000100000" w:firstRow="0" w:lastRow="0" w:firstColumn="0" w:lastColumn="0" w:oddVBand="0" w:evenVBand="0" w:oddHBand="1" w:evenHBand="0"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0070C0"/>
              </w:rPr>
            </w:pPr>
            <w:r>
              <w:rPr>
                <w:rFonts w:cs="Arial"/>
                <w:b/>
                <w:color w:val="0070C0"/>
              </w:rPr>
              <w:t>Tutti i tumori maligni</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rPr>
                <w:b/>
                <w:color w:val="0070C0"/>
              </w:rPr>
            </w:pPr>
            <w:r>
              <w:rPr>
                <w:b/>
                <w:color w:val="0070C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b/>
                <w:color w:val="0070C0"/>
                <w:szCs w:val="16"/>
              </w:rPr>
            </w:pPr>
            <w:r>
              <w:rPr>
                <w:rFonts w:cs="Arial"/>
                <w:b/>
                <w:color w:val="0070C0"/>
                <w:szCs w:val="16"/>
              </w:rPr>
              <w:t>46 (22-95)</w:t>
            </w:r>
          </w:p>
        </w:tc>
      </w:tr>
      <w:tr w:rsidR="00E43B9B" w:rsidTr="00E43B9B">
        <w:trPr>
          <w:cnfStyle w:val="000000010000" w:firstRow="0" w:lastRow="0" w:firstColumn="0" w:lastColumn="0" w:oddVBand="0" w:evenVBand="0" w:oddHBand="0" w:evenHBand="1"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dell'encefalo e di altre non specificate parti del sistema nervoso</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pPr>
            <w:r>
              <w:t>-</w:t>
            </w:r>
          </w:p>
        </w:tc>
        <w:tc>
          <w:tcPr>
            <w:tcW w:w="0" w:type="auto"/>
            <w:tcBorders>
              <w:top w:val="single" w:sz="4" w:space="0" w:color="auto"/>
              <w:left w:val="single" w:sz="4" w:space="0" w:color="auto"/>
              <w:bottom w:val="single" w:sz="4" w:space="0" w:color="auto"/>
              <w:right w:val="single" w:sz="4" w:space="0" w:color="auto"/>
            </w:tcBorders>
            <w:vAlign w:val="center"/>
          </w:tcPr>
          <w:p w:rsidR="00E43B9B" w:rsidRDefault="00E43B9B">
            <w:pPr>
              <w:adjustRightInd w:val="0"/>
              <w:spacing w:before="18" w:after="18"/>
              <w:jc w:val="center"/>
              <w:rPr>
                <w:rFonts w:cs="Arial"/>
                <w:color w:val="000000"/>
                <w:szCs w:val="16"/>
              </w:rPr>
            </w:pPr>
          </w:p>
        </w:tc>
      </w:tr>
      <w:tr w:rsidR="00E43B9B" w:rsidTr="00E43B9B">
        <w:trPr>
          <w:cnfStyle w:val="000000100000" w:firstRow="0" w:lastRow="0" w:firstColumn="0" w:lastColumn="0" w:oddVBand="0" w:evenVBand="0" w:oddHBand="1" w:evenHBand="0"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Tumori maligni del tessuto linfatico ed emopoietico</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color w:val="000000"/>
                <w:szCs w:val="16"/>
              </w:rPr>
            </w:pPr>
            <w:r>
              <w:rPr>
                <w:rFonts w:cs="Arial"/>
                <w:color w:val="000000"/>
                <w:szCs w:val="16"/>
              </w:rPr>
              <w:t>71 (35-147)</w:t>
            </w:r>
          </w:p>
        </w:tc>
      </w:tr>
      <w:tr w:rsidR="00E43B9B" w:rsidTr="00E43B9B">
        <w:trPr>
          <w:cnfStyle w:val="000000010000" w:firstRow="0" w:lastRow="0" w:firstColumn="0" w:lastColumn="0" w:oddVBand="0" w:evenVBand="0" w:oddHBand="0" w:evenHBand="1"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color w:val="000000"/>
              </w:rPr>
            </w:pPr>
            <w:r>
              <w:rPr>
                <w:rFonts w:cs="Arial"/>
                <w:color w:val="000000"/>
              </w:rPr>
              <w:t xml:space="preserve">          Leucemie</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color w:val="000000"/>
                <w:szCs w:val="16"/>
              </w:rPr>
            </w:pPr>
            <w:r>
              <w:rPr>
                <w:rFonts w:cs="Arial"/>
                <w:color w:val="000000"/>
                <w:szCs w:val="16"/>
              </w:rPr>
              <w:t>60 (24-150)</w:t>
            </w:r>
          </w:p>
        </w:tc>
      </w:tr>
      <w:tr w:rsidR="00E43B9B" w:rsidTr="00E43B9B">
        <w:trPr>
          <w:cnfStyle w:val="000000100000" w:firstRow="0" w:lastRow="0" w:firstColumn="0" w:lastColumn="0" w:oddVBand="0" w:evenVBand="0" w:oddHBand="1" w:evenHBand="0"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Infezioni acute delle vie respiratorie, polmonite e influenza</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rPr>
                <w:b/>
                <w:color w:val="FF0000"/>
              </w:rPr>
            </w:pPr>
            <w:r>
              <w:rPr>
                <w:b/>
                <w:color w:val="FF0000"/>
              </w:rPr>
              <w:t>229</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b/>
                <w:color w:val="FF0000"/>
                <w:szCs w:val="16"/>
              </w:rPr>
            </w:pPr>
            <w:r>
              <w:rPr>
                <w:rFonts w:cs="Arial"/>
                <w:b/>
                <w:color w:val="FF0000"/>
                <w:szCs w:val="16"/>
              </w:rPr>
              <w:t>135 (121-150)</w:t>
            </w:r>
          </w:p>
        </w:tc>
      </w:tr>
      <w:tr w:rsidR="00E43B9B" w:rsidTr="00E43B9B">
        <w:trPr>
          <w:cnfStyle w:val="000000010000" w:firstRow="0" w:lastRow="0" w:firstColumn="0" w:lastColumn="0" w:oddVBand="0" w:evenVBand="0" w:oddHBand="0" w:evenHBand="1" w:firstRowFirstColumn="0" w:firstRowLastColumn="0" w:lastRowFirstColumn="0" w:lastRowLastColumn="0"/>
          <w:jc w:val="center"/>
        </w:trPr>
        <w:tc>
          <w:tcPr>
            <w:tcW w:w="5110" w:type="dxa"/>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29" w:after="29"/>
              <w:rPr>
                <w:rFonts w:cs="Arial"/>
                <w:b/>
                <w:color w:val="FF0000"/>
              </w:rPr>
            </w:pPr>
            <w:r>
              <w:rPr>
                <w:rFonts w:cs="Arial"/>
                <w:b/>
                <w:color w:val="FF0000"/>
              </w:rPr>
              <w:t>Asma</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jc w:val="right"/>
              <w:rPr>
                <w:b/>
                <w:color w:val="FF0000"/>
              </w:rPr>
            </w:pPr>
            <w:r>
              <w:rPr>
                <w:b/>
                <w:color w:val="FF0000"/>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E43B9B" w:rsidRDefault="00E43B9B">
            <w:pPr>
              <w:adjustRightInd w:val="0"/>
              <w:spacing w:before="18" w:after="18"/>
              <w:jc w:val="center"/>
              <w:rPr>
                <w:rFonts w:cs="Arial"/>
                <w:b/>
                <w:color w:val="FF0000"/>
                <w:szCs w:val="16"/>
              </w:rPr>
            </w:pPr>
            <w:r>
              <w:rPr>
                <w:rFonts w:cs="Arial"/>
                <w:b/>
                <w:color w:val="FF0000"/>
                <w:szCs w:val="16"/>
              </w:rPr>
              <w:t>197 (163-238)</w:t>
            </w:r>
          </w:p>
        </w:tc>
      </w:tr>
    </w:tbl>
    <w:p w:rsidR="007D2FD0" w:rsidRPr="00102E03" w:rsidRDefault="007D2FD0" w:rsidP="00FB20A6">
      <w:pPr>
        <w:jc w:val="center"/>
        <w:rPr>
          <w:rFonts w:ascii="Arial" w:hAnsi="Arial" w:cs="Arial"/>
          <w:sz w:val="16"/>
          <w:szCs w:val="16"/>
        </w:rPr>
      </w:pPr>
    </w:p>
    <w:sectPr w:rsidR="007D2FD0" w:rsidRPr="00102E03" w:rsidSect="003B3C8F">
      <w:pgSz w:w="11905" w:h="16837"/>
      <w:pgMar w:top="993" w:right="1008" w:bottom="1418" w:left="1008" w:header="426"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93" w:rsidRDefault="00F07693" w:rsidP="00177037">
      <w:r>
        <w:separator/>
      </w:r>
    </w:p>
  </w:endnote>
  <w:endnote w:type="continuationSeparator" w:id="0">
    <w:p w:rsidR="00F07693" w:rsidRDefault="00F07693" w:rsidP="001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86" w:rsidRPr="00591326" w:rsidRDefault="00D66386">
    <w:pPr>
      <w:pStyle w:val="Pidipagina"/>
      <w:jc w:val="right"/>
      <w:rPr>
        <w:rFonts w:ascii="Arial" w:hAnsi="Arial" w:cs="Arial"/>
      </w:rPr>
    </w:pPr>
  </w:p>
  <w:p w:rsidR="00D66386" w:rsidRDefault="00D66386">
    <w:pPr>
      <w:adjustRightInd w:val="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510325"/>
      <w:docPartObj>
        <w:docPartGallery w:val="Page Numbers (Bottom of Page)"/>
        <w:docPartUnique/>
      </w:docPartObj>
    </w:sdtPr>
    <w:sdtEndPr>
      <w:rPr>
        <w:rFonts w:ascii="Arial" w:hAnsi="Arial" w:cs="Arial"/>
      </w:rPr>
    </w:sdtEndPr>
    <w:sdtContent>
      <w:p w:rsidR="00D66386" w:rsidRPr="00591326" w:rsidRDefault="00D66386">
        <w:pPr>
          <w:pStyle w:val="Pidipagina"/>
          <w:jc w:val="right"/>
          <w:rPr>
            <w:rFonts w:ascii="Arial" w:hAnsi="Arial" w:cs="Arial"/>
          </w:rPr>
        </w:pPr>
        <w:r w:rsidRPr="00591326">
          <w:rPr>
            <w:rFonts w:ascii="Arial" w:hAnsi="Arial" w:cs="Arial"/>
          </w:rPr>
          <w:fldChar w:fldCharType="begin"/>
        </w:r>
        <w:r w:rsidRPr="00591326">
          <w:rPr>
            <w:rFonts w:ascii="Arial" w:hAnsi="Arial" w:cs="Arial"/>
          </w:rPr>
          <w:instrText>PAGE   \* MERGEFORMAT</w:instrText>
        </w:r>
        <w:r w:rsidRPr="00591326">
          <w:rPr>
            <w:rFonts w:ascii="Arial" w:hAnsi="Arial" w:cs="Arial"/>
          </w:rPr>
          <w:fldChar w:fldCharType="separate"/>
        </w:r>
        <w:r w:rsidR="00393DB1">
          <w:rPr>
            <w:rFonts w:ascii="Arial" w:hAnsi="Arial" w:cs="Arial"/>
            <w:noProof/>
          </w:rPr>
          <w:t>I</w:t>
        </w:r>
        <w:r w:rsidRPr="00591326">
          <w:rPr>
            <w:rFonts w:ascii="Arial" w:hAnsi="Arial" w:cs="Arial"/>
          </w:rPr>
          <w:fldChar w:fldCharType="end"/>
        </w:r>
      </w:p>
    </w:sdtContent>
  </w:sdt>
  <w:p w:rsidR="00D66386" w:rsidRDefault="00D66386">
    <w:pPr>
      <w:adjustRightInd w:val="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95192"/>
      <w:docPartObj>
        <w:docPartGallery w:val="Page Numbers (Bottom of Page)"/>
        <w:docPartUnique/>
      </w:docPartObj>
    </w:sdtPr>
    <w:sdtEndPr>
      <w:rPr>
        <w:rFonts w:ascii="Arial" w:hAnsi="Arial" w:cs="Arial"/>
      </w:rPr>
    </w:sdtEndPr>
    <w:sdtContent>
      <w:p w:rsidR="00D66386" w:rsidRPr="00591326" w:rsidRDefault="00D66386">
        <w:pPr>
          <w:pStyle w:val="Pidipagina"/>
          <w:jc w:val="right"/>
          <w:rPr>
            <w:rFonts w:ascii="Arial" w:hAnsi="Arial" w:cs="Arial"/>
          </w:rPr>
        </w:pPr>
        <w:r w:rsidRPr="00591326">
          <w:rPr>
            <w:rFonts w:ascii="Arial" w:hAnsi="Arial" w:cs="Arial"/>
          </w:rPr>
          <w:fldChar w:fldCharType="begin"/>
        </w:r>
        <w:r w:rsidRPr="00591326">
          <w:rPr>
            <w:rFonts w:ascii="Arial" w:hAnsi="Arial" w:cs="Arial"/>
          </w:rPr>
          <w:instrText>PAGE   \* MERGEFORMAT</w:instrText>
        </w:r>
        <w:r w:rsidRPr="00591326">
          <w:rPr>
            <w:rFonts w:ascii="Arial" w:hAnsi="Arial" w:cs="Arial"/>
          </w:rPr>
          <w:fldChar w:fldCharType="separate"/>
        </w:r>
        <w:r w:rsidR="00FF12A3">
          <w:rPr>
            <w:rFonts w:ascii="Arial" w:hAnsi="Arial" w:cs="Arial"/>
            <w:noProof/>
          </w:rPr>
          <w:t>19</w:t>
        </w:r>
        <w:r w:rsidRPr="00591326">
          <w:rPr>
            <w:rFonts w:ascii="Arial" w:hAnsi="Arial" w:cs="Arial"/>
          </w:rPr>
          <w:fldChar w:fldCharType="end"/>
        </w:r>
      </w:p>
    </w:sdtContent>
  </w:sdt>
  <w:p w:rsidR="00D66386" w:rsidRDefault="00D66386">
    <w:pPr>
      <w:adjustRightInd w:val="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93" w:rsidRDefault="00F07693" w:rsidP="00177037">
      <w:r>
        <w:separator/>
      </w:r>
    </w:p>
  </w:footnote>
  <w:footnote w:type="continuationSeparator" w:id="0">
    <w:p w:rsidR="00F07693" w:rsidRDefault="00F07693" w:rsidP="00177037">
      <w:r>
        <w:continuationSeparator/>
      </w:r>
    </w:p>
  </w:footnote>
  <w:footnote w:id="1">
    <w:p w:rsidR="00D66386" w:rsidRPr="007242A0" w:rsidRDefault="00D66386" w:rsidP="007242A0">
      <w:pPr>
        <w:pStyle w:val="Testonotaapidipagina"/>
        <w:rPr>
          <w:rFonts w:ascii="Arial" w:hAnsi="Arial" w:cs="Arial"/>
        </w:rPr>
      </w:pPr>
      <w:r w:rsidRPr="007242A0">
        <w:rPr>
          <w:rStyle w:val="Rimandonotaapidipagina"/>
          <w:rFonts w:ascii="Arial" w:hAnsi="Arial" w:cs="Arial"/>
        </w:rPr>
        <w:footnoteRef/>
      </w:r>
      <w:r w:rsidRPr="007242A0">
        <w:rPr>
          <w:rFonts w:ascii="Arial" w:hAnsi="Arial" w:cs="Arial"/>
        </w:rPr>
        <w:t xml:space="preserve"> </w:t>
      </w:r>
      <w:r w:rsidRPr="00CC12FD">
        <w:rPr>
          <w:rFonts w:ascii="Arial" w:hAnsi="Arial" w:cs="Arial"/>
          <w:sz w:val="22"/>
          <w:szCs w:val="22"/>
        </w:rPr>
        <w:t>OMS. Classificazioni delle malattie, traumatismi e cause di morte. Nona revisione (1975). ISTAT; Vol. 1-2, Metodi e Norme, Serie C n. 10, 1997</w:t>
      </w:r>
    </w:p>
  </w:footnote>
  <w:footnote w:id="2">
    <w:p w:rsidR="00D66386" w:rsidRPr="007242A0" w:rsidRDefault="00D66386">
      <w:pPr>
        <w:pStyle w:val="Testonotaapidipagina"/>
        <w:rPr>
          <w:rFonts w:ascii="Arial" w:hAnsi="Arial" w:cs="Arial"/>
        </w:rPr>
      </w:pPr>
      <w:r w:rsidRPr="007242A0">
        <w:rPr>
          <w:rStyle w:val="Rimandonotaapidipagina"/>
          <w:rFonts w:ascii="Arial" w:hAnsi="Arial" w:cs="Arial"/>
        </w:rPr>
        <w:footnoteRef/>
      </w:r>
      <w:r w:rsidRPr="007242A0">
        <w:rPr>
          <w:rFonts w:ascii="Arial" w:hAnsi="Arial" w:cs="Arial"/>
        </w:rPr>
        <w:t xml:space="preserve"> </w:t>
      </w:r>
      <w:r w:rsidRPr="00CC12FD">
        <w:rPr>
          <w:rFonts w:ascii="Arial" w:hAnsi="Arial" w:cs="Arial"/>
          <w:sz w:val="22"/>
          <w:szCs w:val="22"/>
        </w:rPr>
        <w:t>OMS. Classificazione statistica internazionale delle malattie e dei problemi sanitari correlati. Decima revisione. Ministero della Sanità, Vol. 1-3, 2001</w:t>
      </w:r>
    </w:p>
  </w:footnote>
  <w:footnote w:id="3">
    <w:p w:rsidR="00D66386" w:rsidRPr="005F7851" w:rsidRDefault="00D66386">
      <w:pPr>
        <w:pStyle w:val="Testonotaapidipagina"/>
        <w:rPr>
          <w:rFonts w:ascii="Arial" w:hAnsi="Arial" w:cs="Arial"/>
          <w:sz w:val="22"/>
          <w:szCs w:val="22"/>
        </w:rPr>
      </w:pPr>
      <w:r>
        <w:rPr>
          <w:rStyle w:val="Rimandonotaapidipagina"/>
        </w:rPr>
        <w:footnoteRef/>
      </w:r>
      <w:r>
        <w:t xml:space="preserve"> </w:t>
      </w:r>
      <w:proofErr w:type="spellStart"/>
      <w:r w:rsidRPr="005F7851">
        <w:rPr>
          <w:rFonts w:ascii="Arial" w:hAnsi="Arial" w:cs="Arial"/>
          <w:sz w:val="22"/>
          <w:szCs w:val="22"/>
        </w:rPr>
        <w:t>Pirastu</w:t>
      </w:r>
      <w:proofErr w:type="spellEnd"/>
      <w:r w:rsidRPr="005F7851">
        <w:rPr>
          <w:rFonts w:ascii="Arial" w:hAnsi="Arial" w:cs="Arial"/>
          <w:sz w:val="22"/>
          <w:szCs w:val="22"/>
        </w:rPr>
        <w:t xml:space="preserve"> et </w:t>
      </w:r>
      <w:proofErr w:type="gramStart"/>
      <w:r w:rsidRPr="005F7851">
        <w:rPr>
          <w:rFonts w:ascii="Arial" w:hAnsi="Arial" w:cs="Arial"/>
          <w:sz w:val="22"/>
          <w:szCs w:val="22"/>
        </w:rPr>
        <w:t>al  Sentieri</w:t>
      </w:r>
      <w:proofErr w:type="gramEnd"/>
      <w:r w:rsidRPr="005F7851">
        <w:rPr>
          <w:rFonts w:ascii="Arial" w:hAnsi="Arial" w:cs="Arial"/>
          <w:sz w:val="22"/>
          <w:szCs w:val="22"/>
        </w:rPr>
        <w:t xml:space="preserve">. Valutazione della evidenza epidemiologica. </w:t>
      </w:r>
      <w:proofErr w:type="spellStart"/>
      <w:r w:rsidRPr="005F7851">
        <w:rPr>
          <w:rFonts w:ascii="Arial" w:hAnsi="Arial" w:cs="Arial"/>
          <w:sz w:val="22"/>
          <w:szCs w:val="22"/>
        </w:rPr>
        <w:t>Epidemiol</w:t>
      </w:r>
      <w:proofErr w:type="spellEnd"/>
      <w:r w:rsidRPr="005F7851">
        <w:rPr>
          <w:rFonts w:ascii="Arial" w:hAnsi="Arial" w:cs="Arial"/>
          <w:sz w:val="22"/>
          <w:szCs w:val="22"/>
        </w:rPr>
        <w:t xml:space="preserve"> </w:t>
      </w:r>
      <w:proofErr w:type="spellStart"/>
      <w:r w:rsidRPr="005F7851">
        <w:rPr>
          <w:rFonts w:ascii="Arial" w:hAnsi="Arial" w:cs="Arial"/>
          <w:sz w:val="22"/>
          <w:szCs w:val="22"/>
        </w:rPr>
        <w:t>Prev</w:t>
      </w:r>
      <w:proofErr w:type="spellEnd"/>
      <w:r w:rsidRPr="005F7851">
        <w:rPr>
          <w:rFonts w:ascii="Arial" w:hAnsi="Arial" w:cs="Arial"/>
          <w:sz w:val="22"/>
          <w:szCs w:val="22"/>
        </w:rPr>
        <w:t xml:space="preserve"> 2010;34(5-</w:t>
      </w:r>
      <w:proofErr w:type="gramStart"/>
      <w:r w:rsidRPr="005F7851">
        <w:rPr>
          <w:rFonts w:ascii="Arial" w:hAnsi="Arial" w:cs="Arial"/>
          <w:sz w:val="22"/>
          <w:szCs w:val="22"/>
        </w:rPr>
        <w:t>6 )</w:t>
      </w:r>
      <w:proofErr w:type="gramEnd"/>
      <w:r w:rsidRPr="005F7851">
        <w:rPr>
          <w:rFonts w:ascii="Arial" w:hAnsi="Arial" w:cs="Arial"/>
          <w:sz w:val="22"/>
          <w:szCs w:val="22"/>
        </w:rPr>
        <w:t xml:space="preserve"> </w:t>
      </w:r>
      <w:proofErr w:type="spellStart"/>
      <w:r w:rsidRPr="005F7851">
        <w:rPr>
          <w:rFonts w:ascii="Arial" w:hAnsi="Arial" w:cs="Arial"/>
          <w:sz w:val="22"/>
          <w:szCs w:val="22"/>
        </w:rPr>
        <w:t>Suppl</w:t>
      </w:r>
      <w:proofErr w:type="spellEnd"/>
      <w:r w:rsidRPr="005F7851">
        <w:rPr>
          <w:rFonts w:ascii="Arial" w:hAnsi="Arial" w:cs="Arial"/>
          <w:sz w:val="22"/>
          <w:szCs w:val="22"/>
        </w:rPr>
        <w:t xml:space="preserve"> 3</w:t>
      </w:r>
    </w:p>
  </w:footnote>
  <w:footnote w:id="4">
    <w:p w:rsidR="00D66386" w:rsidRPr="005F7851" w:rsidRDefault="00D66386">
      <w:pPr>
        <w:pStyle w:val="Testonotaapidipagina"/>
        <w:rPr>
          <w:lang w:val="en-US"/>
        </w:rPr>
      </w:pPr>
      <w:r>
        <w:rPr>
          <w:rStyle w:val="Rimandonotaapidipagina"/>
        </w:rPr>
        <w:footnoteRef/>
      </w:r>
      <w:r w:rsidRPr="005F7851">
        <w:t xml:space="preserve"> </w:t>
      </w:r>
      <w:proofErr w:type="spellStart"/>
      <w:r w:rsidRPr="005F7851">
        <w:rPr>
          <w:rFonts w:ascii="Arial" w:hAnsi="Arial" w:cs="Arial"/>
          <w:sz w:val="22"/>
          <w:szCs w:val="22"/>
        </w:rPr>
        <w:t>Pirastu</w:t>
      </w:r>
      <w:proofErr w:type="spellEnd"/>
      <w:r w:rsidRPr="005F7851">
        <w:rPr>
          <w:rFonts w:ascii="Arial" w:hAnsi="Arial" w:cs="Arial"/>
          <w:sz w:val="22"/>
          <w:szCs w:val="22"/>
        </w:rPr>
        <w:t xml:space="preserve"> et al Sentieri. Risultati. </w:t>
      </w:r>
      <w:proofErr w:type="spellStart"/>
      <w:r w:rsidRPr="007F4172">
        <w:rPr>
          <w:rFonts w:ascii="Arial" w:hAnsi="Arial" w:cs="Arial"/>
          <w:sz w:val="22"/>
          <w:szCs w:val="22"/>
          <w:lang w:val="en-US"/>
        </w:rPr>
        <w:t>Epidemiol</w:t>
      </w:r>
      <w:proofErr w:type="spellEnd"/>
      <w:r w:rsidRPr="007F4172">
        <w:rPr>
          <w:rFonts w:ascii="Arial" w:hAnsi="Arial" w:cs="Arial"/>
          <w:sz w:val="22"/>
          <w:szCs w:val="22"/>
          <w:lang w:val="en-US"/>
        </w:rPr>
        <w:t xml:space="preserve"> </w:t>
      </w:r>
      <w:proofErr w:type="spellStart"/>
      <w:r w:rsidRPr="007F4172">
        <w:rPr>
          <w:rFonts w:ascii="Arial" w:hAnsi="Arial" w:cs="Arial"/>
          <w:sz w:val="22"/>
          <w:szCs w:val="22"/>
          <w:lang w:val="en-US"/>
        </w:rPr>
        <w:t>Prev</w:t>
      </w:r>
      <w:proofErr w:type="spellEnd"/>
      <w:r w:rsidRPr="007F4172">
        <w:rPr>
          <w:rFonts w:ascii="Arial" w:hAnsi="Arial" w:cs="Arial"/>
          <w:sz w:val="22"/>
          <w:szCs w:val="22"/>
          <w:lang w:val="en-US"/>
        </w:rPr>
        <w:t xml:space="preserve"> 2011;35(5-6)  </w:t>
      </w:r>
      <w:proofErr w:type="spellStart"/>
      <w:r w:rsidRPr="007F4172">
        <w:rPr>
          <w:rFonts w:ascii="Arial" w:hAnsi="Arial" w:cs="Arial"/>
          <w:sz w:val="22"/>
          <w:szCs w:val="22"/>
          <w:lang w:val="en-US"/>
        </w:rPr>
        <w:t>Suppl</w:t>
      </w:r>
      <w:proofErr w:type="spellEnd"/>
      <w:r w:rsidRPr="007F4172">
        <w:rPr>
          <w:rFonts w:ascii="Arial" w:hAnsi="Arial" w:cs="Arial"/>
          <w:sz w:val="22"/>
          <w:szCs w:val="22"/>
          <w:lang w:val="en-US"/>
        </w:rPr>
        <w:t xml:space="preserve"> 4</w:t>
      </w:r>
    </w:p>
  </w:footnote>
  <w:footnote w:id="5">
    <w:p w:rsidR="00D66386" w:rsidRPr="00CC12FD" w:rsidRDefault="00D66386">
      <w:pPr>
        <w:pStyle w:val="Testonotaapidipagina"/>
        <w:rPr>
          <w:rFonts w:ascii="Arial" w:hAnsi="Arial" w:cs="Arial"/>
          <w:sz w:val="22"/>
          <w:szCs w:val="22"/>
          <w:lang w:val="en-US"/>
        </w:rPr>
      </w:pPr>
      <w:r w:rsidRPr="00A318B4">
        <w:rPr>
          <w:rStyle w:val="Rimandonotaapidipagina"/>
          <w:rFonts w:ascii="Arial" w:hAnsi="Arial" w:cs="Arial"/>
        </w:rPr>
        <w:footnoteRef/>
      </w:r>
      <w:r w:rsidRPr="00A318B4">
        <w:rPr>
          <w:rFonts w:ascii="Arial" w:hAnsi="Arial" w:cs="Arial"/>
          <w:lang w:val="en-US"/>
        </w:rPr>
        <w:t xml:space="preserve"> </w:t>
      </w:r>
      <w:proofErr w:type="spellStart"/>
      <w:r w:rsidRPr="00CC12FD">
        <w:rPr>
          <w:rFonts w:ascii="Arial" w:hAnsi="Arial" w:cs="Arial"/>
          <w:sz w:val="22"/>
          <w:szCs w:val="22"/>
          <w:lang w:val="en-US"/>
        </w:rPr>
        <w:t>Jarman</w:t>
      </w:r>
      <w:proofErr w:type="spellEnd"/>
      <w:r w:rsidRPr="00CC12FD">
        <w:rPr>
          <w:rFonts w:ascii="Arial" w:hAnsi="Arial" w:cs="Arial"/>
          <w:sz w:val="22"/>
          <w:szCs w:val="22"/>
          <w:lang w:val="en-US"/>
        </w:rPr>
        <w:t xml:space="preserve"> B. Identification of underprivileged areas. </w:t>
      </w:r>
      <w:proofErr w:type="spellStart"/>
      <w:r w:rsidRPr="005F7851">
        <w:rPr>
          <w:rFonts w:ascii="Arial" w:hAnsi="Arial" w:cs="Arial"/>
          <w:sz w:val="22"/>
          <w:szCs w:val="22"/>
          <w:lang w:val="en-US"/>
        </w:rPr>
        <w:t>BrMed</w:t>
      </w:r>
      <w:proofErr w:type="spellEnd"/>
      <w:r w:rsidRPr="005F7851">
        <w:rPr>
          <w:rFonts w:ascii="Arial" w:hAnsi="Arial" w:cs="Arial"/>
          <w:sz w:val="22"/>
          <w:szCs w:val="22"/>
          <w:lang w:val="en-US"/>
        </w:rPr>
        <w:t xml:space="preserve"> J (</w:t>
      </w:r>
      <w:proofErr w:type="spellStart"/>
      <w:r w:rsidRPr="005F7851">
        <w:rPr>
          <w:rFonts w:ascii="Arial" w:hAnsi="Arial" w:cs="Arial"/>
          <w:sz w:val="22"/>
          <w:szCs w:val="22"/>
          <w:lang w:val="en-US"/>
        </w:rPr>
        <w:t>Clin</w:t>
      </w:r>
      <w:proofErr w:type="spellEnd"/>
      <w:r w:rsidRPr="005F7851">
        <w:rPr>
          <w:rFonts w:ascii="Arial" w:hAnsi="Arial" w:cs="Arial"/>
          <w:sz w:val="22"/>
          <w:szCs w:val="22"/>
          <w:lang w:val="en-US"/>
        </w:rPr>
        <w:t xml:space="preserve"> </w:t>
      </w:r>
      <w:proofErr w:type="spellStart"/>
      <w:r w:rsidRPr="005F7851">
        <w:rPr>
          <w:rFonts w:ascii="Arial" w:hAnsi="Arial" w:cs="Arial"/>
          <w:sz w:val="22"/>
          <w:szCs w:val="22"/>
          <w:lang w:val="en-US"/>
        </w:rPr>
        <w:t>ResEd</w:t>
      </w:r>
      <w:proofErr w:type="spellEnd"/>
      <w:r w:rsidRPr="005F7851">
        <w:rPr>
          <w:rFonts w:ascii="Arial" w:hAnsi="Arial" w:cs="Arial"/>
          <w:sz w:val="22"/>
          <w:szCs w:val="22"/>
          <w:lang w:val="en-US"/>
        </w:rPr>
        <w:t>) 1983; 286; 1705-709</w:t>
      </w:r>
    </w:p>
  </w:footnote>
  <w:footnote w:id="6">
    <w:p w:rsidR="00D66386" w:rsidRPr="005F7851" w:rsidRDefault="00D66386">
      <w:pPr>
        <w:pStyle w:val="Testonotaapidipagina"/>
        <w:rPr>
          <w:rFonts w:ascii="Arial" w:hAnsi="Arial" w:cs="Arial"/>
          <w:sz w:val="22"/>
          <w:szCs w:val="22"/>
          <w:lang w:val="en-US"/>
        </w:rPr>
      </w:pPr>
      <w:r w:rsidRPr="00A318B4">
        <w:rPr>
          <w:rStyle w:val="Rimandonotaapidipagina"/>
          <w:rFonts w:ascii="Arial" w:hAnsi="Arial" w:cs="Arial"/>
        </w:rPr>
        <w:footnoteRef/>
      </w:r>
      <w:r w:rsidRPr="00A318B4">
        <w:rPr>
          <w:rFonts w:ascii="Arial" w:hAnsi="Arial" w:cs="Arial"/>
          <w:lang w:val="en-US"/>
        </w:rPr>
        <w:t xml:space="preserve"> </w:t>
      </w:r>
      <w:r w:rsidRPr="005F7851">
        <w:rPr>
          <w:rFonts w:ascii="Arial" w:hAnsi="Arial" w:cs="Arial"/>
          <w:sz w:val="22"/>
          <w:szCs w:val="22"/>
          <w:lang w:val="en-US"/>
        </w:rPr>
        <w:t>Whitehead M. The health divide. Pelican Books, London 1988</w:t>
      </w:r>
    </w:p>
  </w:footnote>
  <w:footnote w:id="7">
    <w:p w:rsidR="00D66386" w:rsidRPr="005F7851" w:rsidRDefault="00D66386">
      <w:pPr>
        <w:pStyle w:val="Testonotaapidipagina"/>
        <w:rPr>
          <w:rFonts w:ascii="Arial" w:hAnsi="Arial" w:cs="Arial"/>
          <w:sz w:val="22"/>
          <w:szCs w:val="22"/>
          <w:lang w:val="en-US"/>
        </w:rPr>
      </w:pPr>
      <w:r w:rsidRPr="00A318B4">
        <w:rPr>
          <w:rStyle w:val="Rimandonotaapidipagina"/>
          <w:rFonts w:ascii="Arial" w:hAnsi="Arial" w:cs="Arial"/>
        </w:rPr>
        <w:footnoteRef/>
      </w:r>
      <w:r w:rsidRPr="00A318B4">
        <w:rPr>
          <w:rFonts w:ascii="Arial" w:hAnsi="Arial" w:cs="Arial"/>
          <w:lang w:val="en-US"/>
        </w:rPr>
        <w:t xml:space="preserve"> </w:t>
      </w:r>
      <w:proofErr w:type="spellStart"/>
      <w:r w:rsidRPr="005F7851">
        <w:rPr>
          <w:rFonts w:ascii="Arial" w:hAnsi="Arial" w:cs="Arial"/>
          <w:sz w:val="22"/>
          <w:szCs w:val="22"/>
          <w:lang w:val="en-US"/>
        </w:rPr>
        <w:t>Carstairs</w:t>
      </w:r>
      <w:proofErr w:type="spellEnd"/>
      <w:r w:rsidRPr="005F7851">
        <w:rPr>
          <w:rFonts w:ascii="Arial" w:hAnsi="Arial" w:cs="Arial"/>
          <w:sz w:val="22"/>
          <w:szCs w:val="22"/>
          <w:lang w:val="en-US"/>
        </w:rPr>
        <w:t xml:space="preserve"> V. Socio-economic factors at areal level and their relationship with health. In: Elliott P, Wakefield JC, Best NG, Briggs </w:t>
      </w:r>
      <w:proofErr w:type="gramStart"/>
      <w:r w:rsidRPr="005F7851">
        <w:rPr>
          <w:rFonts w:ascii="Arial" w:hAnsi="Arial" w:cs="Arial"/>
          <w:sz w:val="22"/>
          <w:szCs w:val="22"/>
          <w:lang w:val="en-US"/>
        </w:rPr>
        <w:t>DJ(</w:t>
      </w:r>
      <w:proofErr w:type="spellStart"/>
      <w:proofErr w:type="gramEnd"/>
      <w:r w:rsidRPr="005F7851">
        <w:rPr>
          <w:rFonts w:ascii="Arial" w:hAnsi="Arial" w:cs="Arial"/>
          <w:sz w:val="22"/>
          <w:szCs w:val="22"/>
          <w:lang w:val="en-US"/>
        </w:rPr>
        <w:t>eds</w:t>
      </w:r>
      <w:proofErr w:type="spellEnd"/>
      <w:r w:rsidRPr="005F7851">
        <w:rPr>
          <w:rFonts w:ascii="Arial" w:hAnsi="Arial" w:cs="Arial"/>
          <w:sz w:val="22"/>
          <w:szCs w:val="22"/>
          <w:lang w:val="en-US"/>
        </w:rPr>
        <w:t>). Spatial epidemiology. Methods and applications. Oxford University Press, New York 2000</w:t>
      </w:r>
    </w:p>
  </w:footnote>
  <w:footnote w:id="8">
    <w:p w:rsidR="00D66386" w:rsidRPr="00A318B4" w:rsidRDefault="00D66386">
      <w:pPr>
        <w:pStyle w:val="Testonotaapidipagina"/>
        <w:rPr>
          <w:rFonts w:ascii="Arial" w:hAnsi="Arial" w:cs="Arial"/>
          <w:sz w:val="22"/>
          <w:szCs w:val="22"/>
        </w:rPr>
      </w:pPr>
      <w:r w:rsidRPr="00A318B4">
        <w:rPr>
          <w:rStyle w:val="Rimandonotaapidipagina"/>
          <w:rFonts w:ascii="Arial" w:hAnsi="Arial" w:cs="Arial"/>
        </w:rPr>
        <w:footnoteRef/>
      </w:r>
      <w:r w:rsidRPr="00A318B4">
        <w:rPr>
          <w:rFonts w:ascii="Arial" w:hAnsi="Arial" w:cs="Arial"/>
        </w:rPr>
        <w:t xml:space="preserve"> </w:t>
      </w:r>
      <w:r w:rsidRPr="00A318B4">
        <w:rPr>
          <w:rFonts w:ascii="Arial" w:hAnsi="Arial" w:cs="Arial"/>
          <w:sz w:val="22"/>
          <w:szCs w:val="22"/>
        </w:rPr>
        <w:t xml:space="preserve">De </w:t>
      </w:r>
      <w:proofErr w:type="spellStart"/>
      <w:r w:rsidRPr="00A318B4">
        <w:rPr>
          <w:rFonts w:ascii="Arial" w:hAnsi="Arial" w:cs="Arial"/>
          <w:sz w:val="22"/>
          <w:szCs w:val="22"/>
        </w:rPr>
        <w:t>Santis</w:t>
      </w:r>
      <w:proofErr w:type="spellEnd"/>
      <w:r w:rsidRPr="00A318B4">
        <w:rPr>
          <w:rFonts w:ascii="Arial" w:hAnsi="Arial" w:cs="Arial"/>
          <w:sz w:val="22"/>
          <w:szCs w:val="22"/>
        </w:rPr>
        <w:t xml:space="preserve"> M, </w:t>
      </w:r>
      <w:proofErr w:type="spellStart"/>
      <w:r w:rsidRPr="00A318B4">
        <w:rPr>
          <w:rFonts w:ascii="Arial" w:hAnsi="Arial" w:cs="Arial"/>
          <w:sz w:val="22"/>
          <w:szCs w:val="22"/>
        </w:rPr>
        <w:t>Pasetto</w:t>
      </w:r>
      <w:proofErr w:type="spellEnd"/>
      <w:r w:rsidRPr="00A318B4">
        <w:rPr>
          <w:rFonts w:ascii="Arial" w:hAnsi="Arial" w:cs="Arial"/>
          <w:sz w:val="22"/>
          <w:szCs w:val="22"/>
        </w:rPr>
        <w:t xml:space="preserve"> R, Minelli G, Conti S. Materiali e metodi dell’analisi di mortalità nel progetto SENTIERI. </w:t>
      </w:r>
      <w:proofErr w:type="spellStart"/>
      <w:r w:rsidRPr="00A318B4">
        <w:rPr>
          <w:rFonts w:ascii="Arial" w:hAnsi="Arial" w:cs="Arial"/>
          <w:sz w:val="22"/>
          <w:szCs w:val="22"/>
        </w:rPr>
        <w:t>Epidemiol</w:t>
      </w:r>
      <w:proofErr w:type="spellEnd"/>
      <w:r w:rsidRPr="00A318B4">
        <w:rPr>
          <w:rFonts w:ascii="Arial" w:hAnsi="Arial" w:cs="Arial"/>
          <w:sz w:val="22"/>
          <w:szCs w:val="22"/>
        </w:rPr>
        <w:t xml:space="preserve"> </w:t>
      </w:r>
      <w:proofErr w:type="spellStart"/>
      <w:r w:rsidRPr="00A318B4">
        <w:rPr>
          <w:rFonts w:ascii="Arial" w:hAnsi="Arial" w:cs="Arial"/>
          <w:sz w:val="22"/>
          <w:szCs w:val="22"/>
        </w:rPr>
        <w:t>Prev</w:t>
      </w:r>
      <w:proofErr w:type="spellEnd"/>
      <w:r w:rsidRPr="00A318B4">
        <w:rPr>
          <w:rFonts w:ascii="Arial" w:hAnsi="Arial" w:cs="Arial"/>
          <w:sz w:val="22"/>
          <w:szCs w:val="22"/>
        </w:rPr>
        <w:t xml:space="preserve"> 2011;35(5-6 </w:t>
      </w:r>
      <w:proofErr w:type="spellStart"/>
      <w:r w:rsidRPr="00A318B4">
        <w:rPr>
          <w:rFonts w:ascii="Arial" w:hAnsi="Arial" w:cs="Arial"/>
          <w:sz w:val="22"/>
          <w:szCs w:val="22"/>
        </w:rPr>
        <w:t>Suppl</w:t>
      </w:r>
      <w:proofErr w:type="spellEnd"/>
      <w:r w:rsidRPr="00A318B4">
        <w:rPr>
          <w:rFonts w:ascii="Arial" w:hAnsi="Arial" w:cs="Arial"/>
          <w:sz w:val="22"/>
          <w:szCs w:val="22"/>
        </w:rPr>
        <w:t xml:space="preserve"> 4):24-8</w:t>
      </w:r>
    </w:p>
  </w:footnote>
  <w:footnote w:id="9">
    <w:p w:rsidR="00D66386" w:rsidRPr="00CC12FD" w:rsidRDefault="00D66386">
      <w:pPr>
        <w:pStyle w:val="Testonotaapidipagina"/>
        <w:rPr>
          <w:rFonts w:ascii="Arial" w:hAnsi="Arial" w:cs="Arial"/>
          <w:sz w:val="22"/>
          <w:szCs w:val="22"/>
        </w:rPr>
      </w:pPr>
      <w:r w:rsidRPr="00A318B4">
        <w:rPr>
          <w:rStyle w:val="Rimandonotaapidipagina"/>
          <w:rFonts w:ascii="Arial" w:hAnsi="Arial" w:cs="Arial"/>
        </w:rPr>
        <w:footnoteRef/>
      </w:r>
      <w:r w:rsidRPr="00A318B4">
        <w:rPr>
          <w:rFonts w:ascii="Arial" w:hAnsi="Arial" w:cs="Arial"/>
        </w:rPr>
        <w:t xml:space="preserve"> </w:t>
      </w:r>
      <w:proofErr w:type="spellStart"/>
      <w:r w:rsidRPr="00CC12FD">
        <w:rPr>
          <w:rFonts w:ascii="Arial" w:eastAsia="Times New Roman" w:hAnsi="Arial" w:cs="Arial"/>
          <w:sz w:val="22"/>
          <w:szCs w:val="22"/>
          <w:lang w:eastAsia="it-IT"/>
        </w:rPr>
        <w:t>Pasetto</w:t>
      </w:r>
      <w:proofErr w:type="spellEnd"/>
      <w:r w:rsidRPr="00CC12FD">
        <w:rPr>
          <w:rFonts w:ascii="Arial" w:eastAsia="Times New Roman" w:hAnsi="Arial" w:cs="Arial"/>
          <w:sz w:val="22"/>
          <w:szCs w:val="22"/>
          <w:lang w:eastAsia="it-IT"/>
        </w:rPr>
        <w:t xml:space="preserve"> R, Caranci N, </w:t>
      </w:r>
      <w:proofErr w:type="spellStart"/>
      <w:r w:rsidRPr="00CC12FD">
        <w:rPr>
          <w:rFonts w:ascii="Arial" w:eastAsia="Times New Roman" w:hAnsi="Arial" w:cs="Arial"/>
          <w:sz w:val="22"/>
          <w:szCs w:val="22"/>
          <w:lang w:eastAsia="it-IT"/>
        </w:rPr>
        <w:t>Pirastu</w:t>
      </w:r>
      <w:proofErr w:type="spellEnd"/>
      <w:r w:rsidRPr="00CC12FD">
        <w:rPr>
          <w:rFonts w:ascii="Arial" w:eastAsia="Times New Roman" w:hAnsi="Arial" w:cs="Arial"/>
          <w:sz w:val="22"/>
          <w:szCs w:val="22"/>
          <w:lang w:eastAsia="it-IT"/>
        </w:rPr>
        <w:t xml:space="preserve"> R. L’indice di deprivazione negli studi di piccola area su ambiente e salute. </w:t>
      </w:r>
      <w:proofErr w:type="spellStart"/>
      <w:r w:rsidRPr="00CC12FD">
        <w:rPr>
          <w:rFonts w:ascii="Arial" w:eastAsia="Times New Roman" w:hAnsi="Arial" w:cs="Arial"/>
          <w:sz w:val="22"/>
          <w:szCs w:val="22"/>
          <w:lang w:eastAsia="it-IT"/>
        </w:rPr>
        <w:t>Epidemiol</w:t>
      </w:r>
      <w:proofErr w:type="spellEnd"/>
      <w:r w:rsidRPr="00CC12FD">
        <w:rPr>
          <w:rFonts w:ascii="Arial" w:eastAsia="Times New Roman" w:hAnsi="Arial" w:cs="Arial"/>
          <w:sz w:val="22"/>
          <w:szCs w:val="22"/>
          <w:lang w:eastAsia="it-IT"/>
        </w:rPr>
        <w:t xml:space="preserve"> </w:t>
      </w:r>
      <w:proofErr w:type="spellStart"/>
      <w:r w:rsidRPr="00CC12FD">
        <w:rPr>
          <w:rFonts w:ascii="Arial" w:eastAsia="Times New Roman" w:hAnsi="Arial" w:cs="Arial"/>
          <w:sz w:val="22"/>
          <w:szCs w:val="22"/>
          <w:lang w:eastAsia="it-IT"/>
        </w:rPr>
        <w:t>Prev</w:t>
      </w:r>
      <w:proofErr w:type="spellEnd"/>
      <w:r w:rsidRPr="00CC12FD">
        <w:rPr>
          <w:rFonts w:ascii="Arial" w:eastAsia="Times New Roman" w:hAnsi="Arial" w:cs="Arial"/>
          <w:sz w:val="22"/>
          <w:szCs w:val="22"/>
          <w:lang w:eastAsia="it-IT"/>
        </w:rPr>
        <w:t xml:space="preserve"> 2011;35(5-6 </w:t>
      </w:r>
      <w:proofErr w:type="spellStart"/>
      <w:r w:rsidRPr="00CC12FD">
        <w:rPr>
          <w:rFonts w:ascii="Arial" w:eastAsia="Times New Roman" w:hAnsi="Arial" w:cs="Arial"/>
          <w:sz w:val="22"/>
          <w:szCs w:val="22"/>
          <w:lang w:eastAsia="it-IT"/>
        </w:rPr>
        <w:t>Suppl</w:t>
      </w:r>
      <w:proofErr w:type="spellEnd"/>
      <w:r w:rsidRPr="00CC12FD">
        <w:rPr>
          <w:rFonts w:ascii="Arial" w:eastAsia="Times New Roman" w:hAnsi="Arial" w:cs="Arial"/>
          <w:sz w:val="22"/>
          <w:szCs w:val="22"/>
          <w:lang w:eastAsia="it-IT"/>
        </w:rPr>
        <w:t xml:space="preserve"> 4):174-80</w:t>
      </w:r>
    </w:p>
  </w:footnote>
  <w:footnote w:id="10">
    <w:p w:rsidR="00D66386" w:rsidRDefault="00D66386" w:rsidP="00910179">
      <w:pPr>
        <w:pStyle w:val="Testonotaapidipagina"/>
        <w:rPr>
          <w:lang w:val="en-US"/>
        </w:rPr>
      </w:pPr>
      <w:r>
        <w:rPr>
          <w:rStyle w:val="Rimandonotaapidipagina"/>
        </w:rPr>
        <w:footnoteRef/>
      </w:r>
      <w:r>
        <w:t xml:space="preserve"> </w:t>
      </w:r>
      <w:proofErr w:type="spellStart"/>
      <w:r w:rsidRPr="00CC12FD">
        <w:rPr>
          <w:rFonts w:ascii="Arial" w:hAnsi="Arial" w:cs="Arial"/>
          <w:sz w:val="22"/>
          <w:szCs w:val="22"/>
        </w:rPr>
        <w:t>Biggeri</w:t>
      </w:r>
      <w:proofErr w:type="spellEnd"/>
      <w:r w:rsidRPr="00CC12FD">
        <w:rPr>
          <w:rFonts w:ascii="Arial" w:hAnsi="Arial" w:cs="Arial"/>
          <w:sz w:val="22"/>
          <w:szCs w:val="22"/>
        </w:rPr>
        <w:t xml:space="preserve"> et al. Ambiente e salute nelle aree a rischio della Sardegna. </w:t>
      </w:r>
      <w:proofErr w:type="spellStart"/>
      <w:r w:rsidRPr="00CC12FD">
        <w:rPr>
          <w:rFonts w:ascii="Arial" w:hAnsi="Arial" w:cs="Arial"/>
          <w:sz w:val="22"/>
          <w:szCs w:val="22"/>
          <w:lang w:val="en-US"/>
        </w:rPr>
        <w:t>Epidemiol</w:t>
      </w:r>
      <w:proofErr w:type="spellEnd"/>
      <w:r w:rsidRPr="00CC12FD">
        <w:rPr>
          <w:rFonts w:ascii="Arial" w:hAnsi="Arial" w:cs="Arial"/>
          <w:sz w:val="22"/>
          <w:szCs w:val="22"/>
          <w:lang w:val="en-US"/>
        </w:rPr>
        <w:t xml:space="preserve">. Prev. 2006; 30(1) </w:t>
      </w:r>
      <w:proofErr w:type="spellStart"/>
      <w:r w:rsidRPr="00CC12FD">
        <w:rPr>
          <w:rFonts w:ascii="Arial" w:hAnsi="Arial" w:cs="Arial"/>
          <w:sz w:val="22"/>
          <w:szCs w:val="22"/>
          <w:lang w:val="en-US"/>
        </w:rPr>
        <w:t>Suppl</w:t>
      </w:r>
      <w:proofErr w:type="spellEnd"/>
      <w:r w:rsidRPr="00CC12FD">
        <w:rPr>
          <w:rFonts w:ascii="Arial" w:hAnsi="Arial" w:cs="Arial"/>
          <w:sz w:val="22"/>
          <w:szCs w:val="22"/>
          <w:lang w:val="en-US"/>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86" w:rsidRPr="00A936F2" w:rsidRDefault="00D66386" w:rsidP="00A936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86" w:rsidRPr="0036445A" w:rsidRDefault="00D66386" w:rsidP="003644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1A6EE52"/>
    <w:lvl w:ilvl="0" w:tplc="FFFFFFFF">
      <w:start w:val="1"/>
      <w:numFmt w:val="decimal"/>
      <w:lvlText w:val="%1."/>
      <w:lvlJc w:val="left"/>
      <w:pPr>
        <w:tabs>
          <w:tab w:val="num" w:pos="720"/>
        </w:tabs>
        <w:ind w:left="720" w:hanging="360"/>
      </w:pPr>
      <w:rPr>
        <w:rFonts w:ascii="Calibri" w:eastAsia="Times New Roman" w:hAnsi="Calibri" w:cs="Calibri"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90BF3"/>
    <w:multiLevelType w:val="hybridMultilevel"/>
    <w:tmpl w:val="545A5CEC"/>
    <w:lvl w:ilvl="0" w:tplc="30489E8A">
      <w:start w:val="1"/>
      <w:numFmt w:val="bullet"/>
      <w:lvlText w:val="•"/>
      <w:lvlJc w:val="left"/>
      <w:pPr>
        <w:tabs>
          <w:tab w:val="num" w:pos="720"/>
        </w:tabs>
        <w:ind w:left="720" w:hanging="360"/>
      </w:pPr>
      <w:rPr>
        <w:rFonts w:ascii="Times New Roman" w:hAnsi="Times New Roman" w:hint="default"/>
      </w:rPr>
    </w:lvl>
    <w:lvl w:ilvl="1" w:tplc="BC523A2E" w:tentative="1">
      <w:start w:val="1"/>
      <w:numFmt w:val="bullet"/>
      <w:lvlText w:val="•"/>
      <w:lvlJc w:val="left"/>
      <w:pPr>
        <w:tabs>
          <w:tab w:val="num" w:pos="1440"/>
        </w:tabs>
        <w:ind w:left="1440" w:hanging="360"/>
      </w:pPr>
      <w:rPr>
        <w:rFonts w:ascii="Times New Roman" w:hAnsi="Times New Roman" w:hint="default"/>
      </w:rPr>
    </w:lvl>
    <w:lvl w:ilvl="2" w:tplc="5202884C" w:tentative="1">
      <w:start w:val="1"/>
      <w:numFmt w:val="bullet"/>
      <w:lvlText w:val="•"/>
      <w:lvlJc w:val="left"/>
      <w:pPr>
        <w:tabs>
          <w:tab w:val="num" w:pos="2160"/>
        </w:tabs>
        <w:ind w:left="2160" w:hanging="360"/>
      </w:pPr>
      <w:rPr>
        <w:rFonts w:ascii="Times New Roman" w:hAnsi="Times New Roman" w:hint="default"/>
      </w:rPr>
    </w:lvl>
    <w:lvl w:ilvl="3" w:tplc="3FF4D4CC" w:tentative="1">
      <w:start w:val="1"/>
      <w:numFmt w:val="bullet"/>
      <w:lvlText w:val="•"/>
      <w:lvlJc w:val="left"/>
      <w:pPr>
        <w:tabs>
          <w:tab w:val="num" w:pos="2880"/>
        </w:tabs>
        <w:ind w:left="2880" w:hanging="360"/>
      </w:pPr>
      <w:rPr>
        <w:rFonts w:ascii="Times New Roman" w:hAnsi="Times New Roman" w:hint="default"/>
      </w:rPr>
    </w:lvl>
    <w:lvl w:ilvl="4" w:tplc="36D02FF6" w:tentative="1">
      <w:start w:val="1"/>
      <w:numFmt w:val="bullet"/>
      <w:lvlText w:val="•"/>
      <w:lvlJc w:val="left"/>
      <w:pPr>
        <w:tabs>
          <w:tab w:val="num" w:pos="3600"/>
        </w:tabs>
        <w:ind w:left="3600" w:hanging="360"/>
      </w:pPr>
      <w:rPr>
        <w:rFonts w:ascii="Times New Roman" w:hAnsi="Times New Roman" w:hint="default"/>
      </w:rPr>
    </w:lvl>
    <w:lvl w:ilvl="5" w:tplc="656440F8" w:tentative="1">
      <w:start w:val="1"/>
      <w:numFmt w:val="bullet"/>
      <w:lvlText w:val="•"/>
      <w:lvlJc w:val="left"/>
      <w:pPr>
        <w:tabs>
          <w:tab w:val="num" w:pos="4320"/>
        </w:tabs>
        <w:ind w:left="4320" w:hanging="360"/>
      </w:pPr>
      <w:rPr>
        <w:rFonts w:ascii="Times New Roman" w:hAnsi="Times New Roman" w:hint="default"/>
      </w:rPr>
    </w:lvl>
    <w:lvl w:ilvl="6" w:tplc="CDA24C28" w:tentative="1">
      <w:start w:val="1"/>
      <w:numFmt w:val="bullet"/>
      <w:lvlText w:val="•"/>
      <w:lvlJc w:val="left"/>
      <w:pPr>
        <w:tabs>
          <w:tab w:val="num" w:pos="5040"/>
        </w:tabs>
        <w:ind w:left="5040" w:hanging="360"/>
      </w:pPr>
      <w:rPr>
        <w:rFonts w:ascii="Times New Roman" w:hAnsi="Times New Roman" w:hint="default"/>
      </w:rPr>
    </w:lvl>
    <w:lvl w:ilvl="7" w:tplc="3334A5C4" w:tentative="1">
      <w:start w:val="1"/>
      <w:numFmt w:val="bullet"/>
      <w:lvlText w:val="•"/>
      <w:lvlJc w:val="left"/>
      <w:pPr>
        <w:tabs>
          <w:tab w:val="num" w:pos="5760"/>
        </w:tabs>
        <w:ind w:left="5760" w:hanging="360"/>
      </w:pPr>
      <w:rPr>
        <w:rFonts w:ascii="Times New Roman" w:hAnsi="Times New Roman" w:hint="default"/>
      </w:rPr>
    </w:lvl>
    <w:lvl w:ilvl="8" w:tplc="C4740B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A6147F"/>
    <w:multiLevelType w:val="multilevel"/>
    <w:tmpl w:val="5882F67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9296520"/>
    <w:multiLevelType w:val="hybridMultilevel"/>
    <w:tmpl w:val="26FC1B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9C726A0"/>
    <w:multiLevelType w:val="hybridMultilevel"/>
    <w:tmpl w:val="E786A4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F467C91"/>
    <w:multiLevelType w:val="hybridMultilevel"/>
    <w:tmpl w:val="4B42A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533585"/>
    <w:multiLevelType w:val="hybridMultilevel"/>
    <w:tmpl w:val="ED9C37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6A341C"/>
    <w:multiLevelType w:val="multilevel"/>
    <w:tmpl w:val="9AF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E2718"/>
    <w:multiLevelType w:val="hybridMultilevel"/>
    <w:tmpl w:val="E4808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1C5A5F"/>
    <w:multiLevelType w:val="hybridMultilevel"/>
    <w:tmpl w:val="55F4F4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D64B27"/>
    <w:multiLevelType w:val="hybridMultilevel"/>
    <w:tmpl w:val="AD983634"/>
    <w:lvl w:ilvl="0" w:tplc="F432CF9A">
      <w:start w:val="1"/>
      <w:numFmt w:val="bullet"/>
      <w:lvlText w:val="•"/>
      <w:lvlJc w:val="left"/>
      <w:pPr>
        <w:tabs>
          <w:tab w:val="num" w:pos="720"/>
        </w:tabs>
        <w:ind w:left="720" w:hanging="360"/>
      </w:pPr>
      <w:rPr>
        <w:rFonts w:ascii="Times New Roman" w:hAnsi="Times New Roman" w:hint="default"/>
      </w:rPr>
    </w:lvl>
    <w:lvl w:ilvl="1" w:tplc="BE206D0A" w:tentative="1">
      <w:start w:val="1"/>
      <w:numFmt w:val="bullet"/>
      <w:lvlText w:val="•"/>
      <w:lvlJc w:val="left"/>
      <w:pPr>
        <w:tabs>
          <w:tab w:val="num" w:pos="1440"/>
        </w:tabs>
        <w:ind w:left="1440" w:hanging="360"/>
      </w:pPr>
      <w:rPr>
        <w:rFonts w:ascii="Times New Roman" w:hAnsi="Times New Roman" w:hint="default"/>
      </w:rPr>
    </w:lvl>
    <w:lvl w:ilvl="2" w:tplc="9EBAC6EE" w:tentative="1">
      <w:start w:val="1"/>
      <w:numFmt w:val="bullet"/>
      <w:lvlText w:val="•"/>
      <w:lvlJc w:val="left"/>
      <w:pPr>
        <w:tabs>
          <w:tab w:val="num" w:pos="2160"/>
        </w:tabs>
        <w:ind w:left="2160" w:hanging="360"/>
      </w:pPr>
      <w:rPr>
        <w:rFonts w:ascii="Times New Roman" w:hAnsi="Times New Roman" w:hint="default"/>
      </w:rPr>
    </w:lvl>
    <w:lvl w:ilvl="3" w:tplc="3E166564" w:tentative="1">
      <w:start w:val="1"/>
      <w:numFmt w:val="bullet"/>
      <w:lvlText w:val="•"/>
      <w:lvlJc w:val="left"/>
      <w:pPr>
        <w:tabs>
          <w:tab w:val="num" w:pos="2880"/>
        </w:tabs>
        <w:ind w:left="2880" w:hanging="360"/>
      </w:pPr>
      <w:rPr>
        <w:rFonts w:ascii="Times New Roman" w:hAnsi="Times New Roman" w:hint="default"/>
      </w:rPr>
    </w:lvl>
    <w:lvl w:ilvl="4" w:tplc="17AA55CA" w:tentative="1">
      <w:start w:val="1"/>
      <w:numFmt w:val="bullet"/>
      <w:lvlText w:val="•"/>
      <w:lvlJc w:val="left"/>
      <w:pPr>
        <w:tabs>
          <w:tab w:val="num" w:pos="3600"/>
        </w:tabs>
        <w:ind w:left="3600" w:hanging="360"/>
      </w:pPr>
      <w:rPr>
        <w:rFonts w:ascii="Times New Roman" w:hAnsi="Times New Roman" w:hint="default"/>
      </w:rPr>
    </w:lvl>
    <w:lvl w:ilvl="5" w:tplc="7CE6056A" w:tentative="1">
      <w:start w:val="1"/>
      <w:numFmt w:val="bullet"/>
      <w:lvlText w:val="•"/>
      <w:lvlJc w:val="left"/>
      <w:pPr>
        <w:tabs>
          <w:tab w:val="num" w:pos="4320"/>
        </w:tabs>
        <w:ind w:left="4320" w:hanging="360"/>
      </w:pPr>
      <w:rPr>
        <w:rFonts w:ascii="Times New Roman" w:hAnsi="Times New Roman" w:hint="default"/>
      </w:rPr>
    </w:lvl>
    <w:lvl w:ilvl="6" w:tplc="36A256AE" w:tentative="1">
      <w:start w:val="1"/>
      <w:numFmt w:val="bullet"/>
      <w:lvlText w:val="•"/>
      <w:lvlJc w:val="left"/>
      <w:pPr>
        <w:tabs>
          <w:tab w:val="num" w:pos="5040"/>
        </w:tabs>
        <w:ind w:left="5040" w:hanging="360"/>
      </w:pPr>
      <w:rPr>
        <w:rFonts w:ascii="Times New Roman" w:hAnsi="Times New Roman" w:hint="default"/>
      </w:rPr>
    </w:lvl>
    <w:lvl w:ilvl="7" w:tplc="BB96E5FA" w:tentative="1">
      <w:start w:val="1"/>
      <w:numFmt w:val="bullet"/>
      <w:lvlText w:val="•"/>
      <w:lvlJc w:val="left"/>
      <w:pPr>
        <w:tabs>
          <w:tab w:val="num" w:pos="5760"/>
        </w:tabs>
        <w:ind w:left="5760" w:hanging="360"/>
      </w:pPr>
      <w:rPr>
        <w:rFonts w:ascii="Times New Roman" w:hAnsi="Times New Roman" w:hint="default"/>
      </w:rPr>
    </w:lvl>
    <w:lvl w:ilvl="8" w:tplc="65B2BF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C53097"/>
    <w:multiLevelType w:val="hybridMultilevel"/>
    <w:tmpl w:val="7AEE8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037D02"/>
    <w:multiLevelType w:val="hybridMultilevel"/>
    <w:tmpl w:val="2FC4C9A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68B956FB"/>
    <w:multiLevelType w:val="hybridMultilevel"/>
    <w:tmpl w:val="4AC028FA"/>
    <w:lvl w:ilvl="0" w:tplc="04100001">
      <w:start w:val="1"/>
      <w:numFmt w:val="bullet"/>
      <w:lvlText w:val=""/>
      <w:lvlJc w:val="left"/>
      <w:pPr>
        <w:ind w:left="3240" w:hanging="360"/>
      </w:pPr>
      <w:rPr>
        <w:rFonts w:ascii="Symbol" w:hAnsi="Symbol"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5"/>
  </w:num>
  <w:num w:numId="6">
    <w:abstractNumId w:val="11"/>
  </w:num>
  <w:num w:numId="7">
    <w:abstractNumId w:val="6"/>
  </w:num>
  <w:num w:numId="8">
    <w:abstractNumId w:val="12"/>
  </w:num>
  <w:num w:numId="9">
    <w:abstractNumId w:val="13"/>
  </w:num>
  <w:num w:numId="10">
    <w:abstractNumId w:val="4"/>
  </w:num>
  <w:num w:numId="11">
    <w:abstractNumId w:val="3"/>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A2"/>
    <w:rsid w:val="000024EE"/>
    <w:rsid w:val="00035AD6"/>
    <w:rsid w:val="000426D3"/>
    <w:rsid w:val="00042B53"/>
    <w:rsid w:val="00047FAF"/>
    <w:rsid w:val="0005188F"/>
    <w:rsid w:val="00057186"/>
    <w:rsid w:val="0007060F"/>
    <w:rsid w:val="000905F4"/>
    <w:rsid w:val="0009267A"/>
    <w:rsid w:val="000A5274"/>
    <w:rsid w:val="000B6615"/>
    <w:rsid w:val="000C1BF8"/>
    <w:rsid w:val="000C295E"/>
    <w:rsid w:val="000D1816"/>
    <w:rsid w:val="000E0DF3"/>
    <w:rsid w:val="000E7826"/>
    <w:rsid w:val="00102E03"/>
    <w:rsid w:val="00105458"/>
    <w:rsid w:val="00117C30"/>
    <w:rsid w:val="0012729A"/>
    <w:rsid w:val="00132373"/>
    <w:rsid w:val="001370EE"/>
    <w:rsid w:val="0014295E"/>
    <w:rsid w:val="00165A85"/>
    <w:rsid w:val="00166909"/>
    <w:rsid w:val="00171962"/>
    <w:rsid w:val="00173B8D"/>
    <w:rsid w:val="00175604"/>
    <w:rsid w:val="00177037"/>
    <w:rsid w:val="001852AB"/>
    <w:rsid w:val="00190EEA"/>
    <w:rsid w:val="00190F1B"/>
    <w:rsid w:val="001A5EA1"/>
    <w:rsid w:val="001D43A2"/>
    <w:rsid w:val="001E642B"/>
    <w:rsid w:val="001F1438"/>
    <w:rsid w:val="00204349"/>
    <w:rsid w:val="00206C6A"/>
    <w:rsid w:val="00221D8D"/>
    <w:rsid w:val="0024635D"/>
    <w:rsid w:val="00257429"/>
    <w:rsid w:val="002629D0"/>
    <w:rsid w:val="00265BF8"/>
    <w:rsid w:val="002738A2"/>
    <w:rsid w:val="002748B3"/>
    <w:rsid w:val="002844D6"/>
    <w:rsid w:val="00294EEE"/>
    <w:rsid w:val="002A1C2E"/>
    <w:rsid w:val="002A1D30"/>
    <w:rsid w:val="002A6F4F"/>
    <w:rsid w:val="002A774E"/>
    <w:rsid w:val="002B2B67"/>
    <w:rsid w:val="002D6C04"/>
    <w:rsid w:val="002F0C11"/>
    <w:rsid w:val="003045B1"/>
    <w:rsid w:val="00304757"/>
    <w:rsid w:val="003070CE"/>
    <w:rsid w:val="00325075"/>
    <w:rsid w:val="00334D45"/>
    <w:rsid w:val="0033642A"/>
    <w:rsid w:val="00340A15"/>
    <w:rsid w:val="00341F5A"/>
    <w:rsid w:val="00351239"/>
    <w:rsid w:val="0035391F"/>
    <w:rsid w:val="003626D2"/>
    <w:rsid w:val="0036445A"/>
    <w:rsid w:val="003738AD"/>
    <w:rsid w:val="00375A76"/>
    <w:rsid w:val="003824DA"/>
    <w:rsid w:val="00393DB1"/>
    <w:rsid w:val="00395A7E"/>
    <w:rsid w:val="00396744"/>
    <w:rsid w:val="003B281F"/>
    <w:rsid w:val="003B3037"/>
    <w:rsid w:val="003B3C8F"/>
    <w:rsid w:val="003C1ABE"/>
    <w:rsid w:val="003C43DB"/>
    <w:rsid w:val="003D5E5E"/>
    <w:rsid w:val="003F0AD5"/>
    <w:rsid w:val="003F0B3B"/>
    <w:rsid w:val="00401CF2"/>
    <w:rsid w:val="00407C81"/>
    <w:rsid w:val="00434E60"/>
    <w:rsid w:val="004475BF"/>
    <w:rsid w:val="004605A5"/>
    <w:rsid w:val="00465FB3"/>
    <w:rsid w:val="00466702"/>
    <w:rsid w:val="00494EBF"/>
    <w:rsid w:val="004961BE"/>
    <w:rsid w:val="004A5742"/>
    <w:rsid w:val="004B356A"/>
    <w:rsid w:val="004C159B"/>
    <w:rsid w:val="004E6741"/>
    <w:rsid w:val="00504F0B"/>
    <w:rsid w:val="005159F1"/>
    <w:rsid w:val="00530563"/>
    <w:rsid w:val="0054100A"/>
    <w:rsid w:val="0054595C"/>
    <w:rsid w:val="00545CD6"/>
    <w:rsid w:val="00547675"/>
    <w:rsid w:val="005626A6"/>
    <w:rsid w:val="00566066"/>
    <w:rsid w:val="005739A4"/>
    <w:rsid w:val="00577193"/>
    <w:rsid w:val="005855D8"/>
    <w:rsid w:val="00591326"/>
    <w:rsid w:val="0059411F"/>
    <w:rsid w:val="005A2BB0"/>
    <w:rsid w:val="005C2912"/>
    <w:rsid w:val="005E231F"/>
    <w:rsid w:val="005E4C5E"/>
    <w:rsid w:val="005F7851"/>
    <w:rsid w:val="00602BBD"/>
    <w:rsid w:val="00612E62"/>
    <w:rsid w:val="00615BD8"/>
    <w:rsid w:val="006252B3"/>
    <w:rsid w:val="00650A83"/>
    <w:rsid w:val="00652069"/>
    <w:rsid w:val="00666C9C"/>
    <w:rsid w:val="006D0209"/>
    <w:rsid w:val="006D3769"/>
    <w:rsid w:val="006F4EB0"/>
    <w:rsid w:val="0070566C"/>
    <w:rsid w:val="00721A06"/>
    <w:rsid w:val="0072237F"/>
    <w:rsid w:val="007242A0"/>
    <w:rsid w:val="00736D31"/>
    <w:rsid w:val="00742491"/>
    <w:rsid w:val="00750EDE"/>
    <w:rsid w:val="0075497B"/>
    <w:rsid w:val="00755E67"/>
    <w:rsid w:val="007567C5"/>
    <w:rsid w:val="007616B8"/>
    <w:rsid w:val="00761E29"/>
    <w:rsid w:val="00770F3F"/>
    <w:rsid w:val="0078296D"/>
    <w:rsid w:val="00784BEE"/>
    <w:rsid w:val="0079643B"/>
    <w:rsid w:val="007B0FA6"/>
    <w:rsid w:val="007C0DBE"/>
    <w:rsid w:val="007C4029"/>
    <w:rsid w:val="007D2FD0"/>
    <w:rsid w:val="007E02FA"/>
    <w:rsid w:val="007F4172"/>
    <w:rsid w:val="007F6F38"/>
    <w:rsid w:val="008045C4"/>
    <w:rsid w:val="00822B5C"/>
    <w:rsid w:val="008733FC"/>
    <w:rsid w:val="00876BB0"/>
    <w:rsid w:val="008835F6"/>
    <w:rsid w:val="00893ADF"/>
    <w:rsid w:val="008A0734"/>
    <w:rsid w:val="008A379D"/>
    <w:rsid w:val="008B520C"/>
    <w:rsid w:val="008C6111"/>
    <w:rsid w:val="008E6A29"/>
    <w:rsid w:val="00902567"/>
    <w:rsid w:val="0090267E"/>
    <w:rsid w:val="00910179"/>
    <w:rsid w:val="00911C4D"/>
    <w:rsid w:val="0091223C"/>
    <w:rsid w:val="00924BCF"/>
    <w:rsid w:val="009305EC"/>
    <w:rsid w:val="009305FA"/>
    <w:rsid w:val="0093458A"/>
    <w:rsid w:val="00936907"/>
    <w:rsid w:val="00965123"/>
    <w:rsid w:val="0097264B"/>
    <w:rsid w:val="009735E7"/>
    <w:rsid w:val="00976A37"/>
    <w:rsid w:val="009942C5"/>
    <w:rsid w:val="009977DF"/>
    <w:rsid w:val="009A36FE"/>
    <w:rsid w:val="009E0D1C"/>
    <w:rsid w:val="009F021F"/>
    <w:rsid w:val="009F575E"/>
    <w:rsid w:val="009F6A31"/>
    <w:rsid w:val="009F7267"/>
    <w:rsid w:val="009F756A"/>
    <w:rsid w:val="00A10FB8"/>
    <w:rsid w:val="00A318B4"/>
    <w:rsid w:val="00A31CD5"/>
    <w:rsid w:val="00A5128C"/>
    <w:rsid w:val="00A601CE"/>
    <w:rsid w:val="00A8119A"/>
    <w:rsid w:val="00A85C06"/>
    <w:rsid w:val="00A911DE"/>
    <w:rsid w:val="00A936F2"/>
    <w:rsid w:val="00AA1973"/>
    <w:rsid w:val="00AA28F0"/>
    <w:rsid w:val="00AB43C5"/>
    <w:rsid w:val="00AB70D8"/>
    <w:rsid w:val="00AC7DC4"/>
    <w:rsid w:val="00AD4EF0"/>
    <w:rsid w:val="00AD6600"/>
    <w:rsid w:val="00AE2E5D"/>
    <w:rsid w:val="00AE5622"/>
    <w:rsid w:val="00AE6590"/>
    <w:rsid w:val="00B156E5"/>
    <w:rsid w:val="00B30613"/>
    <w:rsid w:val="00B34D63"/>
    <w:rsid w:val="00B40C88"/>
    <w:rsid w:val="00B578D9"/>
    <w:rsid w:val="00B7552F"/>
    <w:rsid w:val="00B81DA9"/>
    <w:rsid w:val="00B83C15"/>
    <w:rsid w:val="00B86EDD"/>
    <w:rsid w:val="00B870AC"/>
    <w:rsid w:val="00B94398"/>
    <w:rsid w:val="00B97080"/>
    <w:rsid w:val="00BA1052"/>
    <w:rsid w:val="00BA4897"/>
    <w:rsid w:val="00BB2DA1"/>
    <w:rsid w:val="00BB6CCD"/>
    <w:rsid w:val="00BC3CC8"/>
    <w:rsid w:val="00BD0D56"/>
    <w:rsid w:val="00BE3895"/>
    <w:rsid w:val="00C04A1D"/>
    <w:rsid w:val="00C05DAE"/>
    <w:rsid w:val="00C2429B"/>
    <w:rsid w:val="00C336C2"/>
    <w:rsid w:val="00C35C8C"/>
    <w:rsid w:val="00C569F1"/>
    <w:rsid w:val="00C75FF7"/>
    <w:rsid w:val="00C82678"/>
    <w:rsid w:val="00C841AC"/>
    <w:rsid w:val="00C85C17"/>
    <w:rsid w:val="00C86BAD"/>
    <w:rsid w:val="00C975D3"/>
    <w:rsid w:val="00CA2ABC"/>
    <w:rsid w:val="00CC12FD"/>
    <w:rsid w:val="00CC330B"/>
    <w:rsid w:val="00CD74A8"/>
    <w:rsid w:val="00CE35BC"/>
    <w:rsid w:val="00D05081"/>
    <w:rsid w:val="00D075D9"/>
    <w:rsid w:val="00D2107A"/>
    <w:rsid w:val="00D211F7"/>
    <w:rsid w:val="00D27927"/>
    <w:rsid w:val="00D34CF3"/>
    <w:rsid w:val="00D3506E"/>
    <w:rsid w:val="00D4245D"/>
    <w:rsid w:val="00D63692"/>
    <w:rsid w:val="00D660FC"/>
    <w:rsid w:val="00D66386"/>
    <w:rsid w:val="00D70034"/>
    <w:rsid w:val="00D9216F"/>
    <w:rsid w:val="00D93E41"/>
    <w:rsid w:val="00DA6287"/>
    <w:rsid w:val="00DB1CFB"/>
    <w:rsid w:val="00DC52D1"/>
    <w:rsid w:val="00DC61C7"/>
    <w:rsid w:val="00DD1753"/>
    <w:rsid w:val="00DE00F5"/>
    <w:rsid w:val="00E1774F"/>
    <w:rsid w:val="00E35595"/>
    <w:rsid w:val="00E43B9B"/>
    <w:rsid w:val="00E53425"/>
    <w:rsid w:val="00E63ED9"/>
    <w:rsid w:val="00E64EA1"/>
    <w:rsid w:val="00E74D68"/>
    <w:rsid w:val="00E75597"/>
    <w:rsid w:val="00E7587C"/>
    <w:rsid w:val="00E8661E"/>
    <w:rsid w:val="00EA1C54"/>
    <w:rsid w:val="00EA4784"/>
    <w:rsid w:val="00EC798C"/>
    <w:rsid w:val="00ED11C8"/>
    <w:rsid w:val="00EE7FAB"/>
    <w:rsid w:val="00F07693"/>
    <w:rsid w:val="00F22D73"/>
    <w:rsid w:val="00F31002"/>
    <w:rsid w:val="00F367AF"/>
    <w:rsid w:val="00F4318C"/>
    <w:rsid w:val="00F633E7"/>
    <w:rsid w:val="00F6723E"/>
    <w:rsid w:val="00F714BD"/>
    <w:rsid w:val="00F7770C"/>
    <w:rsid w:val="00F92550"/>
    <w:rsid w:val="00F9629D"/>
    <w:rsid w:val="00FA1ED2"/>
    <w:rsid w:val="00FA247B"/>
    <w:rsid w:val="00FB20A6"/>
    <w:rsid w:val="00FB2651"/>
    <w:rsid w:val="00FC6B8E"/>
    <w:rsid w:val="00FD421E"/>
    <w:rsid w:val="00FE35A7"/>
    <w:rsid w:val="00FF12A3"/>
    <w:rsid w:val="00FF6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8C1303-88D7-4C3B-B8BA-02BAE2C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0F3F"/>
    <w:pPr>
      <w:autoSpaceDE w:val="0"/>
      <w:autoSpaceDN w:val="0"/>
    </w:pPr>
    <w:rPr>
      <w:lang w:eastAsia="ja-JP"/>
    </w:rPr>
  </w:style>
  <w:style w:type="paragraph" w:styleId="Titolo1">
    <w:name w:val="heading 1"/>
    <w:basedOn w:val="Normale"/>
    <w:next w:val="Normale"/>
    <w:qFormat/>
    <w:rsid w:val="0093458A"/>
    <w:pPr>
      <w:keepNext/>
      <w:spacing w:before="360" w:after="180"/>
      <w:outlineLvl w:val="0"/>
    </w:pPr>
    <w:rPr>
      <w:rFonts w:ascii="Arial" w:hAnsi="Arial" w:cs="Arial"/>
      <w:b/>
      <w:bCs/>
      <w:kern w:val="32"/>
      <w:sz w:val="36"/>
      <w:szCs w:val="32"/>
    </w:rPr>
  </w:style>
  <w:style w:type="paragraph" w:styleId="Titolo2">
    <w:name w:val="heading 2"/>
    <w:basedOn w:val="Normale"/>
    <w:next w:val="Normale"/>
    <w:link w:val="Titolo2Carattere"/>
    <w:qFormat/>
    <w:rsid w:val="00E74D68"/>
    <w:pPr>
      <w:keepNext/>
      <w:keepLines/>
      <w:spacing w:before="360" w:after="360"/>
      <w:outlineLvl w:val="1"/>
    </w:pPr>
    <w:rPr>
      <w:rFonts w:ascii="Arial" w:eastAsiaTheme="majorEastAsia" w:hAnsi="Arial" w:cstheme="majorBidi"/>
      <w:b/>
      <w:bCs/>
      <w:sz w:val="32"/>
      <w:szCs w:val="26"/>
    </w:rPr>
  </w:style>
  <w:style w:type="paragraph" w:styleId="Titolo3">
    <w:name w:val="heading 3"/>
    <w:basedOn w:val="Normale"/>
    <w:next w:val="Normale"/>
    <w:link w:val="Titolo3Carattere"/>
    <w:qFormat/>
    <w:rsid w:val="00E74D68"/>
    <w:pPr>
      <w:keepNext/>
      <w:keepLines/>
      <w:spacing w:before="440" w:after="240"/>
      <w:outlineLvl w:val="2"/>
    </w:pPr>
    <w:rPr>
      <w:rFonts w:ascii="Arial" w:eastAsiaTheme="majorEastAsia" w:hAnsi="Arial" w:cstheme="majorBidi"/>
      <w:b/>
      <w:bCs/>
      <w:color w:val="000000" w:themeColor="text1"/>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B35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102E03"/>
    <w:pPr>
      <w:tabs>
        <w:tab w:val="center" w:pos="4819"/>
        <w:tab w:val="right" w:pos="9638"/>
      </w:tabs>
    </w:pPr>
  </w:style>
  <w:style w:type="table" w:customStyle="1" w:styleId="SENTIERI">
    <w:name w:val="SENTIERI"/>
    <w:basedOn w:val="Tabellanormale"/>
    <w:uiPriority w:val="99"/>
    <w:rsid w:val="00BA4897"/>
    <w:rPr>
      <w:rFonts w:ascii="Arial" w:eastAsia="Times New Roman" w:hAnsi="Arial"/>
      <w:sz w:val="16"/>
      <w:szCs w:val="22"/>
    </w:rPr>
    <w:tblPr>
      <w:tblStyleRowBandSize w:val="1"/>
    </w:tblPr>
    <w:tblStylePr w:type="firstRow">
      <w:tblPr/>
      <w:tcPr>
        <w:shd w:val="clear" w:color="auto" w:fill="FFFF00"/>
      </w:tcPr>
    </w:tblStylePr>
    <w:tblStylePr w:type="band1Horz">
      <w:tblPr/>
      <w:tcPr>
        <w:shd w:val="clear" w:color="auto" w:fill="FFFFFF"/>
      </w:tcPr>
    </w:tblStylePr>
    <w:tblStylePr w:type="band2Horz">
      <w:tblPr/>
      <w:tcPr>
        <w:shd w:val="clear" w:color="auto" w:fill="D9D9D9"/>
      </w:tcPr>
    </w:tblStylePr>
  </w:style>
  <w:style w:type="character" w:styleId="Rimandocommento">
    <w:name w:val="annotation reference"/>
    <w:rsid w:val="00465FB3"/>
    <w:rPr>
      <w:sz w:val="16"/>
      <w:szCs w:val="16"/>
    </w:rPr>
  </w:style>
  <w:style w:type="paragraph" w:styleId="Testocommento">
    <w:name w:val="annotation text"/>
    <w:basedOn w:val="Normale"/>
    <w:link w:val="TestocommentoCarattere"/>
    <w:rsid w:val="00465FB3"/>
  </w:style>
  <w:style w:type="character" w:customStyle="1" w:styleId="TestocommentoCarattere">
    <w:name w:val="Testo commento Carattere"/>
    <w:link w:val="Testocommento"/>
    <w:rsid w:val="00465FB3"/>
    <w:rPr>
      <w:lang w:eastAsia="ja-JP"/>
    </w:rPr>
  </w:style>
  <w:style w:type="paragraph" w:styleId="Soggettocommento">
    <w:name w:val="annotation subject"/>
    <w:basedOn w:val="Testocommento"/>
    <w:next w:val="Testocommento"/>
    <w:link w:val="SoggettocommentoCarattere"/>
    <w:rsid w:val="00465FB3"/>
    <w:rPr>
      <w:b/>
      <w:bCs/>
    </w:rPr>
  </w:style>
  <w:style w:type="character" w:customStyle="1" w:styleId="SoggettocommentoCarattere">
    <w:name w:val="Soggetto commento Carattere"/>
    <w:link w:val="Soggettocommento"/>
    <w:rsid w:val="00465FB3"/>
    <w:rPr>
      <w:b/>
      <w:bCs/>
      <w:lang w:eastAsia="ja-JP"/>
    </w:rPr>
  </w:style>
  <w:style w:type="paragraph" w:styleId="Testofumetto">
    <w:name w:val="Balloon Text"/>
    <w:basedOn w:val="Normale"/>
    <w:link w:val="TestofumettoCarattere"/>
    <w:rsid w:val="00465FB3"/>
    <w:rPr>
      <w:rFonts w:ascii="Tahoma" w:hAnsi="Tahoma"/>
      <w:sz w:val="16"/>
      <w:szCs w:val="16"/>
    </w:rPr>
  </w:style>
  <w:style w:type="character" w:customStyle="1" w:styleId="TestofumettoCarattere">
    <w:name w:val="Testo fumetto Carattere"/>
    <w:link w:val="Testofumetto"/>
    <w:rsid w:val="00465FB3"/>
    <w:rPr>
      <w:rFonts w:ascii="Tahoma" w:hAnsi="Tahoma" w:cs="Tahoma"/>
      <w:sz w:val="16"/>
      <w:szCs w:val="16"/>
      <w:lang w:eastAsia="ja-JP"/>
    </w:rPr>
  </w:style>
  <w:style w:type="paragraph" w:customStyle="1" w:styleId="ListStyle">
    <w:name w:val="ListStyle"/>
    <w:rsid w:val="00AD4EF0"/>
    <w:rPr>
      <w:rFonts w:eastAsia="Times New Roman"/>
    </w:rPr>
  </w:style>
  <w:style w:type="paragraph" w:styleId="Revisione">
    <w:name w:val="Revision"/>
    <w:hidden/>
    <w:uiPriority w:val="99"/>
    <w:semiHidden/>
    <w:rsid w:val="002B2B67"/>
    <w:rPr>
      <w:lang w:eastAsia="ja-JP"/>
    </w:rPr>
  </w:style>
  <w:style w:type="paragraph" w:styleId="Pidipagina">
    <w:name w:val="footer"/>
    <w:basedOn w:val="Normale"/>
    <w:link w:val="PidipaginaCarattere"/>
    <w:uiPriority w:val="99"/>
    <w:rsid w:val="00177037"/>
    <w:pPr>
      <w:tabs>
        <w:tab w:val="center" w:pos="4819"/>
        <w:tab w:val="right" w:pos="9638"/>
      </w:tabs>
    </w:pPr>
  </w:style>
  <w:style w:type="character" w:customStyle="1" w:styleId="PidipaginaCarattere">
    <w:name w:val="Piè di pagina Carattere"/>
    <w:link w:val="Pidipagina"/>
    <w:uiPriority w:val="99"/>
    <w:rsid w:val="00177037"/>
    <w:rPr>
      <w:lang w:eastAsia="ja-JP"/>
    </w:rPr>
  </w:style>
  <w:style w:type="table" w:customStyle="1" w:styleId="Stile1">
    <w:name w:val="Stile1"/>
    <w:basedOn w:val="Tabellanormale"/>
    <w:uiPriority w:val="99"/>
    <w:rsid w:val="00BA4897"/>
    <w:rPr>
      <w:rFonts w:ascii="Arial" w:eastAsia="Times New Roman" w:hAnsi="Arial"/>
      <w:sz w:val="16"/>
      <w:szCs w:val="22"/>
    </w:rPr>
    <w:tblPr>
      <w:tblStyleRowBandSize w:val="1"/>
    </w:tblPr>
    <w:tblStylePr w:type="firstRow">
      <w:tblPr/>
      <w:tcPr>
        <w:shd w:val="clear" w:color="auto" w:fill="FFFF00"/>
      </w:tcPr>
    </w:tblStylePr>
    <w:tblStylePr w:type="band1Horz">
      <w:tblPr/>
      <w:tcPr>
        <w:shd w:val="clear" w:color="auto" w:fill="FFFFFF"/>
      </w:tcPr>
    </w:tblStylePr>
    <w:tblStylePr w:type="band2Horz">
      <w:tblPr/>
      <w:tcPr>
        <w:shd w:val="clear" w:color="auto" w:fill="D9D9D9"/>
      </w:tcPr>
    </w:tblStylePr>
  </w:style>
  <w:style w:type="paragraph" w:styleId="Paragrafoelenco">
    <w:name w:val="List Paragraph"/>
    <w:basedOn w:val="Normale"/>
    <w:uiPriority w:val="34"/>
    <w:qFormat/>
    <w:rsid w:val="003070CE"/>
    <w:pPr>
      <w:ind w:left="720"/>
      <w:contextualSpacing/>
    </w:pPr>
  </w:style>
  <w:style w:type="character" w:customStyle="1" w:styleId="Titolo2Carattere">
    <w:name w:val="Titolo 2 Carattere"/>
    <w:basedOn w:val="Carpredefinitoparagrafo"/>
    <w:link w:val="Titolo2"/>
    <w:rsid w:val="00E74D68"/>
    <w:rPr>
      <w:rFonts w:ascii="Arial" w:eastAsiaTheme="majorEastAsia" w:hAnsi="Arial" w:cstheme="majorBidi"/>
      <w:b/>
      <w:bCs/>
      <w:sz w:val="32"/>
      <w:szCs w:val="26"/>
      <w:lang w:eastAsia="ja-JP"/>
    </w:rPr>
  </w:style>
  <w:style w:type="table" w:customStyle="1" w:styleId="Sfondomedio1-Colore11">
    <w:name w:val="Sfondo medio 1 - Colore 11"/>
    <w:basedOn w:val="Tabellanormale"/>
    <w:uiPriority w:val="63"/>
    <w:rsid w:val="008045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stonotaapidipagina">
    <w:name w:val="footnote text"/>
    <w:basedOn w:val="Normale"/>
    <w:link w:val="TestonotaapidipaginaCarattere"/>
    <w:rsid w:val="00341F5A"/>
  </w:style>
  <w:style w:type="character" w:customStyle="1" w:styleId="TestonotaapidipaginaCarattere">
    <w:name w:val="Testo nota a piè di pagina Carattere"/>
    <w:basedOn w:val="Carpredefinitoparagrafo"/>
    <w:link w:val="Testonotaapidipagina"/>
    <w:rsid w:val="00341F5A"/>
    <w:rPr>
      <w:lang w:eastAsia="ja-JP"/>
    </w:rPr>
  </w:style>
  <w:style w:type="character" w:styleId="Rimandonotaapidipagina">
    <w:name w:val="footnote reference"/>
    <w:basedOn w:val="Carpredefinitoparagrafo"/>
    <w:rsid w:val="00341F5A"/>
    <w:rPr>
      <w:vertAlign w:val="superscript"/>
    </w:rPr>
  </w:style>
  <w:style w:type="paragraph" w:customStyle="1" w:styleId="StileTitolo114pt">
    <w:name w:val="Stile Titolo 1 + 14 pt"/>
    <w:basedOn w:val="Titolo1"/>
    <w:rsid w:val="00AA28F0"/>
  </w:style>
  <w:style w:type="paragraph" w:styleId="Titolosommario">
    <w:name w:val="TOC Heading"/>
    <w:basedOn w:val="Titolo1"/>
    <w:next w:val="Normale"/>
    <w:uiPriority w:val="39"/>
    <w:unhideWhenUsed/>
    <w:qFormat/>
    <w:rsid w:val="00A5128C"/>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it-IT"/>
    </w:rPr>
  </w:style>
  <w:style w:type="paragraph" w:styleId="Sommario1">
    <w:name w:val="toc 1"/>
    <w:basedOn w:val="Normale"/>
    <w:next w:val="Normale"/>
    <w:autoRedefine/>
    <w:uiPriority w:val="39"/>
    <w:rsid w:val="00A5128C"/>
    <w:pPr>
      <w:spacing w:after="100"/>
    </w:pPr>
  </w:style>
  <w:style w:type="paragraph" w:styleId="Sommario2">
    <w:name w:val="toc 2"/>
    <w:basedOn w:val="Normale"/>
    <w:next w:val="Normale"/>
    <w:autoRedefine/>
    <w:uiPriority w:val="39"/>
    <w:rsid w:val="00A5128C"/>
    <w:pPr>
      <w:spacing w:after="100"/>
      <w:ind w:left="200"/>
    </w:pPr>
  </w:style>
  <w:style w:type="character" w:styleId="Collegamentoipertestuale">
    <w:name w:val="Hyperlink"/>
    <w:basedOn w:val="Carpredefinitoparagrafo"/>
    <w:uiPriority w:val="99"/>
    <w:unhideWhenUsed/>
    <w:rsid w:val="00A5128C"/>
    <w:rPr>
      <w:color w:val="0000FF" w:themeColor="hyperlink"/>
      <w:u w:val="single"/>
    </w:rPr>
  </w:style>
  <w:style w:type="paragraph" w:styleId="NormaleWeb">
    <w:name w:val="Normal (Web)"/>
    <w:basedOn w:val="Normale"/>
    <w:uiPriority w:val="99"/>
    <w:unhideWhenUsed/>
    <w:rsid w:val="00D2107A"/>
    <w:pPr>
      <w:autoSpaceDE/>
      <w:autoSpaceDN/>
      <w:spacing w:before="100" w:beforeAutospacing="1" w:after="100" w:afterAutospacing="1"/>
    </w:pPr>
    <w:rPr>
      <w:rFonts w:eastAsia="Times New Roman"/>
      <w:sz w:val="24"/>
      <w:szCs w:val="24"/>
      <w:lang w:eastAsia="it-IT"/>
    </w:rPr>
  </w:style>
  <w:style w:type="character" w:customStyle="1" w:styleId="Titolo3Carattere">
    <w:name w:val="Titolo 3 Carattere"/>
    <w:basedOn w:val="Carpredefinitoparagrafo"/>
    <w:link w:val="Titolo3"/>
    <w:rsid w:val="00E74D68"/>
    <w:rPr>
      <w:rFonts w:ascii="Arial" w:eastAsiaTheme="majorEastAsia" w:hAnsi="Arial" w:cstheme="majorBidi"/>
      <w:b/>
      <w:bCs/>
      <w:color w:val="000000" w:themeColor="text1"/>
      <w:sz w:val="28"/>
      <w:lang w:eastAsia="ja-JP"/>
    </w:rPr>
  </w:style>
  <w:style w:type="paragraph" w:styleId="Sommario3">
    <w:name w:val="toc 3"/>
    <w:basedOn w:val="Normale"/>
    <w:next w:val="Normale"/>
    <w:autoRedefine/>
    <w:uiPriority w:val="39"/>
    <w:rsid w:val="005739A4"/>
    <w:pPr>
      <w:spacing w:after="100"/>
      <w:ind w:left="400"/>
    </w:pPr>
  </w:style>
  <w:style w:type="paragraph" w:customStyle="1" w:styleId="PATED">
    <w:name w:val="PATED"/>
    <w:basedOn w:val="Normale"/>
    <w:rsid w:val="005739A4"/>
    <w:pPr>
      <w:autoSpaceDE/>
      <w:autoSpaceDN/>
      <w:spacing w:before="120"/>
      <w:ind w:left="284"/>
      <w:jc w:val="both"/>
    </w:pPr>
    <w:rPr>
      <w:rFonts w:ascii="Arial" w:eastAsia="Times New Roman" w:hAnsi="Arial" w:cs="Arial"/>
      <w:szCs w:val="24"/>
      <w:lang w:eastAsia="it-IT"/>
    </w:rPr>
  </w:style>
  <w:style w:type="paragraph" w:customStyle="1" w:styleId="Stile2">
    <w:name w:val="Stile2"/>
    <w:basedOn w:val="Normale"/>
    <w:next w:val="Titolo3"/>
    <w:rsid w:val="00E43B9B"/>
    <w:pPr>
      <w:spacing w:before="120" w:after="120" w:line="360" w:lineRule="auto"/>
      <w:jc w:val="both"/>
    </w:pPr>
    <w:rPr>
      <w:rFonts w:ascii="Arial" w:hAnsi="Arial" w:cs="Arial"/>
      <w:b/>
      <w:sz w:val="22"/>
      <w:szCs w:val="22"/>
    </w:rPr>
  </w:style>
  <w:style w:type="character" w:styleId="Enfasigrassetto">
    <w:name w:val="Strong"/>
    <w:basedOn w:val="Carpredefinitoparagrafo"/>
    <w:uiPriority w:val="22"/>
    <w:qFormat/>
    <w:rsid w:val="00D92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48">
      <w:bodyDiv w:val="1"/>
      <w:marLeft w:val="0"/>
      <w:marRight w:val="0"/>
      <w:marTop w:val="0"/>
      <w:marBottom w:val="0"/>
      <w:divBdr>
        <w:top w:val="none" w:sz="0" w:space="0" w:color="auto"/>
        <w:left w:val="none" w:sz="0" w:space="0" w:color="auto"/>
        <w:bottom w:val="none" w:sz="0" w:space="0" w:color="auto"/>
        <w:right w:val="none" w:sz="0" w:space="0" w:color="auto"/>
      </w:divBdr>
    </w:div>
    <w:div w:id="133908626">
      <w:bodyDiv w:val="1"/>
      <w:marLeft w:val="0"/>
      <w:marRight w:val="0"/>
      <w:marTop w:val="0"/>
      <w:marBottom w:val="0"/>
      <w:divBdr>
        <w:top w:val="none" w:sz="0" w:space="0" w:color="auto"/>
        <w:left w:val="none" w:sz="0" w:space="0" w:color="auto"/>
        <w:bottom w:val="none" w:sz="0" w:space="0" w:color="auto"/>
        <w:right w:val="none" w:sz="0" w:space="0" w:color="auto"/>
      </w:divBdr>
    </w:div>
    <w:div w:id="214466354">
      <w:bodyDiv w:val="1"/>
      <w:marLeft w:val="0"/>
      <w:marRight w:val="0"/>
      <w:marTop w:val="0"/>
      <w:marBottom w:val="0"/>
      <w:divBdr>
        <w:top w:val="none" w:sz="0" w:space="0" w:color="auto"/>
        <w:left w:val="none" w:sz="0" w:space="0" w:color="auto"/>
        <w:bottom w:val="none" w:sz="0" w:space="0" w:color="auto"/>
        <w:right w:val="none" w:sz="0" w:space="0" w:color="auto"/>
      </w:divBdr>
      <w:divsChild>
        <w:div w:id="960261011">
          <w:marLeft w:val="0"/>
          <w:marRight w:val="0"/>
          <w:marTop w:val="134"/>
          <w:marBottom w:val="0"/>
          <w:divBdr>
            <w:top w:val="none" w:sz="0" w:space="0" w:color="auto"/>
            <w:left w:val="none" w:sz="0" w:space="0" w:color="auto"/>
            <w:bottom w:val="none" w:sz="0" w:space="0" w:color="auto"/>
            <w:right w:val="none" w:sz="0" w:space="0" w:color="auto"/>
          </w:divBdr>
        </w:div>
      </w:divsChild>
    </w:div>
    <w:div w:id="221334302">
      <w:bodyDiv w:val="1"/>
      <w:marLeft w:val="0"/>
      <w:marRight w:val="0"/>
      <w:marTop w:val="0"/>
      <w:marBottom w:val="0"/>
      <w:divBdr>
        <w:top w:val="none" w:sz="0" w:space="0" w:color="auto"/>
        <w:left w:val="none" w:sz="0" w:space="0" w:color="auto"/>
        <w:bottom w:val="none" w:sz="0" w:space="0" w:color="auto"/>
        <w:right w:val="none" w:sz="0" w:space="0" w:color="auto"/>
      </w:divBdr>
    </w:div>
    <w:div w:id="427314363">
      <w:bodyDiv w:val="1"/>
      <w:marLeft w:val="0"/>
      <w:marRight w:val="0"/>
      <w:marTop w:val="0"/>
      <w:marBottom w:val="0"/>
      <w:divBdr>
        <w:top w:val="none" w:sz="0" w:space="0" w:color="auto"/>
        <w:left w:val="none" w:sz="0" w:space="0" w:color="auto"/>
        <w:bottom w:val="none" w:sz="0" w:space="0" w:color="auto"/>
        <w:right w:val="none" w:sz="0" w:space="0" w:color="auto"/>
      </w:divBdr>
    </w:div>
    <w:div w:id="514536011">
      <w:bodyDiv w:val="1"/>
      <w:marLeft w:val="0"/>
      <w:marRight w:val="0"/>
      <w:marTop w:val="0"/>
      <w:marBottom w:val="0"/>
      <w:divBdr>
        <w:top w:val="none" w:sz="0" w:space="0" w:color="auto"/>
        <w:left w:val="none" w:sz="0" w:space="0" w:color="auto"/>
        <w:bottom w:val="none" w:sz="0" w:space="0" w:color="auto"/>
        <w:right w:val="none" w:sz="0" w:space="0" w:color="auto"/>
      </w:divBdr>
    </w:div>
    <w:div w:id="686368842">
      <w:bodyDiv w:val="1"/>
      <w:marLeft w:val="0"/>
      <w:marRight w:val="0"/>
      <w:marTop w:val="0"/>
      <w:marBottom w:val="0"/>
      <w:divBdr>
        <w:top w:val="none" w:sz="0" w:space="0" w:color="auto"/>
        <w:left w:val="none" w:sz="0" w:space="0" w:color="auto"/>
        <w:bottom w:val="none" w:sz="0" w:space="0" w:color="auto"/>
        <w:right w:val="none" w:sz="0" w:space="0" w:color="auto"/>
      </w:divBdr>
    </w:div>
    <w:div w:id="710150401">
      <w:bodyDiv w:val="1"/>
      <w:marLeft w:val="0"/>
      <w:marRight w:val="0"/>
      <w:marTop w:val="0"/>
      <w:marBottom w:val="0"/>
      <w:divBdr>
        <w:top w:val="none" w:sz="0" w:space="0" w:color="auto"/>
        <w:left w:val="none" w:sz="0" w:space="0" w:color="auto"/>
        <w:bottom w:val="none" w:sz="0" w:space="0" w:color="auto"/>
        <w:right w:val="none" w:sz="0" w:space="0" w:color="auto"/>
      </w:divBdr>
    </w:div>
    <w:div w:id="785388460">
      <w:bodyDiv w:val="1"/>
      <w:marLeft w:val="0"/>
      <w:marRight w:val="0"/>
      <w:marTop w:val="0"/>
      <w:marBottom w:val="0"/>
      <w:divBdr>
        <w:top w:val="none" w:sz="0" w:space="0" w:color="auto"/>
        <w:left w:val="none" w:sz="0" w:space="0" w:color="auto"/>
        <w:bottom w:val="none" w:sz="0" w:space="0" w:color="auto"/>
        <w:right w:val="none" w:sz="0" w:space="0" w:color="auto"/>
      </w:divBdr>
    </w:div>
    <w:div w:id="981274888">
      <w:bodyDiv w:val="1"/>
      <w:marLeft w:val="0"/>
      <w:marRight w:val="0"/>
      <w:marTop w:val="0"/>
      <w:marBottom w:val="0"/>
      <w:divBdr>
        <w:top w:val="none" w:sz="0" w:space="0" w:color="auto"/>
        <w:left w:val="none" w:sz="0" w:space="0" w:color="auto"/>
        <w:bottom w:val="none" w:sz="0" w:space="0" w:color="auto"/>
        <w:right w:val="none" w:sz="0" w:space="0" w:color="auto"/>
      </w:divBdr>
    </w:div>
    <w:div w:id="1175194329">
      <w:bodyDiv w:val="1"/>
      <w:marLeft w:val="0"/>
      <w:marRight w:val="0"/>
      <w:marTop w:val="0"/>
      <w:marBottom w:val="0"/>
      <w:divBdr>
        <w:top w:val="none" w:sz="0" w:space="0" w:color="auto"/>
        <w:left w:val="none" w:sz="0" w:space="0" w:color="auto"/>
        <w:bottom w:val="none" w:sz="0" w:space="0" w:color="auto"/>
        <w:right w:val="none" w:sz="0" w:space="0" w:color="auto"/>
      </w:divBdr>
    </w:div>
    <w:div w:id="1191335367">
      <w:bodyDiv w:val="1"/>
      <w:marLeft w:val="0"/>
      <w:marRight w:val="0"/>
      <w:marTop w:val="0"/>
      <w:marBottom w:val="0"/>
      <w:divBdr>
        <w:top w:val="none" w:sz="0" w:space="0" w:color="auto"/>
        <w:left w:val="none" w:sz="0" w:space="0" w:color="auto"/>
        <w:bottom w:val="none" w:sz="0" w:space="0" w:color="auto"/>
        <w:right w:val="none" w:sz="0" w:space="0" w:color="auto"/>
      </w:divBdr>
    </w:div>
    <w:div w:id="1201472442">
      <w:bodyDiv w:val="1"/>
      <w:marLeft w:val="0"/>
      <w:marRight w:val="0"/>
      <w:marTop w:val="0"/>
      <w:marBottom w:val="0"/>
      <w:divBdr>
        <w:top w:val="none" w:sz="0" w:space="0" w:color="auto"/>
        <w:left w:val="none" w:sz="0" w:space="0" w:color="auto"/>
        <w:bottom w:val="none" w:sz="0" w:space="0" w:color="auto"/>
        <w:right w:val="none" w:sz="0" w:space="0" w:color="auto"/>
      </w:divBdr>
    </w:div>
    <w:div w:id="1238902440">
      <w:bodyDiv w:val="1"/>
      <w:marLeft w:val="0"/>
      <w:marRight w:val="0"/>
      <w:marTop w:val="0"/>
      <w:marBottom w:val="0"/>
      <w:divBdr>
        <w:top w:val="none" w:sz="0" w:space="0" w:color="auto"/>
        <w:left w:val="none" w:sz="0" w:space="0" w:color="auto"/>
        <w:bottom w:val="none" w:sz="0" w:space="0" w:color="auto"/>
        <w:right w:val="none" w:sz="0" w:space="0" w:color="auto"/>
      </w:divBdr>
    </w:div>
    <w:div w:id="1280184211">
      <w:bodyDiv w:val="1"/>
      <w:marLeft w:val="0"/>
      <w:marRight w:val="0"/>
      <w:marTop w:val="0"/>
      <w:marBottom w:val="0"/>
      <w:divBdr>
        <w:top w:val="none" w:sz="0" w:space="0" w:color="auto"/>
        <w:left w:val="none" w:sz="0" w:space="0" w:color="auto"/>
        <w:bottom w:val="none" w:sz="0" w:space="0" w:color="auto"/>
        <w:right w:val="none" w:sz="0" w:space="0" w:color="auto"/>
      </w:divBdr>
    </w:div>
    <w:div w:id="1590508510">
      <w:bodyDiv w:val="1"/>
      <w:marLeft w:val="0"/>
      <w:marRight w:val="0"/>
      <w:marTop w:val="0"/>
      <w:marBottom w:val="0"/>
      <w:divBdr>
        <w:top w:val="none" w:sz="0" w:space="0" w:color="auto"/>
        <w:left w:val="none" w:sz="0" w:space="0" w:color="auto"/>
        <w:bottom w:val="none" w:sz="0" w:space="0" w:color="auto"/>
        <w:right w:val="none" w:sz="0" w:space="0" w:color="auto"/>
      </w:divBdr>
    </w:div>
    <w:div w:id="1744523980">
      <w:bodyDiv w:val="1"/>
      <w:marLeft w:val="0"/>
      <w:marRight w:val="0"/>
      <w:marTop w:val="0"/>
      <w:marBottom w:val="0"/>
      <w:divBdr>
        <w:top w:val="none" w:sz="0" w:space="0" w:color="auto"/>
        <w:left w:val="none" w:sz="0" w:space="0" w:color="auto"/>
        <w:bottom w:val="none" w:sz="0" w:space="0" w:color="auto"/>
        <w:right w:val="none" w:sz="0" w:space="0" w:color="auto"/>
      </w:divBdr>
    </w:div>
    <w:div w:id="1891577839">
      <w:bodyDiv w:val="1"/>
      <w:marLeft w:val="0"/>
      <w:marRight w:val="0"/>
      <w:marTop w:val="0"/>
      <w:marBottom w:val="0"/>
      <w:divBdr>
        <w:top w:val="none" w:sz="0" w:space="0" w:color="auto"/>
        <w:left w:val="none" w:sz="0" w:space="0" w:color="auto"/>
        <w:bottom w:val="none" w:sz="0" w:space="0" w:color="auto"/>
        <w:right w:val="none" w:sz="0" w:space="0" w:color="auto"/>
      </w:divBdr>
      <w:divsChild>
        <w:div w:id="1251037963">
          <w:marLeft w:val="288"/>
          <w:marRight w:val="0"/>
          <w:marTop w:val="115"/>
          <w:marBottom w:val="0"/>
          <w:divBdr>
            <w:top w:val="none" w:sz="0" w:space="0" w:color="auto"/>
            <w:left w:val="none" w:sz="0" w:space="0" w:color="auto"/>
            <w:bottom w:val="none" w:sz="0" w:space="0" w:color="auto"/>
            <w:right w:val="none" w:sz="0" w:space="0" w:color="auto"/>
          </w:divBdr>
        </w:div>
        <w:div w:id="1212500415">
          <w:marLeft w:val="288"/>
          <w:marRight w:val="0"/>
          <w:marTop w:val="115"/>
          <w:marBottom w:val="0"/>
          <w:divBdr>
            <w:top w:val="none" w:sz="0" w:space="0" w:color="auto"/>
            <w:left w:val="none" w:sz="0" w:space="0" w:color="auto"/>
            <w:bottom w:val="none" w:sz="0" w:space="0" w:color="auto"/>
            <w:right w:val="none" w:sz="0" w:space="0" w:color="auto"/>
          </w:divBdr>
        </w:div>
        <w:div w:id="801771177">
          <w:marLeft w:val="288"/>
          <w:marRight w:val="0"/>
          <w:marTop w:val="115"/>
          <w:marBottom w:val="0"/>
          <w:divBdr>
            <w:top w:val="none" w:sz="0" w:space="0" w:color="auto"/>
            <w:left w:val="none" w:sz="0" w:space="0" w:color="auto"/>
            <w:bottom w:val="none" w:sz="0" w:space="0" w:color="auto"/>
            <w:right w:val="none" w:sz="0" w:space="0" w:color="auto"/>
          </w:divBdr>
        </w:div>
      </w:divsChild>
    </w:div>
    <w:div w:id="1901279848">
      <w:bodyDiv w:val="1"/>
      <w:marLeft w:val="0"/>
      <w:marRight w:val="0"/>
      <w:marTop w:val="0"/>
      <w:marBottom w:val="0"/>
      <w:divBdr>
        <w:top w:val="none" w:sz="0" w:space="0" w:color="auto"/>
        <w:left w:val="none" w:sz="0" w:space="0" w:color="auto"/>
        <w:bottom w:val="none" w:sz="0" w:space="0" w:color="auto"/>
        <w:right w:val="none" w:sz="0" w:space="0" w:color="auto"/>
      </w:divBdr>
    </w:div>
    <w:div w:id="1950820406">
      <w:bodyDiv w:val="1"/>
      <w:marLeft w:val="0"/>
      <w:marRight w:val="0"/>
      <w:marTop w:val="0"/>
      <w:marBottom w:val="0"/>
      <w:divBdr>
        <w:top w:val="none" w:sz="0" w:space="0" w:color="auto"/>
        <w:left w:val="none" w:sz="0" w:space="0" w:color="auto"/>
        <w:bottom w:val="none" w:sz="0" w:space="0" w:color="auto"/>
        <w:right w:val="none" w:sz="0" w:space="0" w:color="auto"/>
      </w:divBdr>
    </w:div>
    <w:div w:id="20368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4.bin"/><Relationship Id="rId28" Type="http://schemas.openxmlformats.org/officeDocument/2006/relationships/image" Target="media/image12.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ABBB-E287-48CF-B89C-17D3018C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8055</Words>
  <Characters>45916</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ISS</Company>
  <LinksUpToDate>false</LinksUpToDate>
  <CharactersWithSpaces>53864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loreto_giuseppe</dc:creator>
  <cp:lastModifiedBy>Cauzillo Gabriella</cp:lastModifiedBy>
  <cp:revision>2</cp:revision>
  <cp:lastPrinted>2013-04-30T10:01:00Z</cp:lastPrinted>
  <dcterms:created xsi:type="dcterms:W3CDTF">2015-10-09T13:54:00Z</dcterms:created>
  <dcterms:modified xsi:type="dcterms:W3CDTF">2015-10-09T13:54:00Z</dcterms:modified>
</cp:coreProperties>
</file>